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</w:pPr>
    </w:p>
    <w:p>
      <w:pPr>
        <w:spacing w:after="160"/>
        <w:jc w:val="center"/>
      </w:pPr>
      <w:r>
        <w:rPr>
          <w:rFonts w:ascii="Calibri" w:hAnsi="Calibri"/>
          <w:b/>
          <w:color w:val="5A5A5A"/>
          <w:sz w:val="28"/>
        </w:rPr>
        <w:t>PROPOSTA DE VENDA INTEGRAL</w:t>
      </w:r>
    </w:p>
    <w:p>
      <w:pPr>
        <w:spacing w:after="120"/>
        <w:jc w:val="center"/>
      </w:pPr>
      <w:r>
        <w:rPr>
          <w:rFonts w:ascii="Calibri" w:hAnsi="Calibri"/>
          <w:b/>
          <w:color w:val="142B4A"/>
          <w:sz w:val="56"/>
        </w:rPr>
        <w:t>Requisições App</w:t>
      </w:r>
    </w:p>
    <w:p>
      <w:pPr>
        <w:spacing w:after="400"/>
        <w:jc w:val="center"/>
      </w:pPr>
      <w:r>
        <w:rPr>
          <w:rFonts w:ascii="Calibri" w:hAnsi="Calibri"/>
          <w:b w:val="0"/>
          <w:color w:val="2C5D8A"/>
          <w:sz w:val="28"/>
        </w:rPr>
        <w:t>Avaliação financeira para cessão patrimonial de 100% do ativo</w:t>
      </w:r>
    </w:p>
    <w:p>
      <w:pPr>
        <w:spacing w:after="560"/>
        <w:jc w:val="center"/>
      </w:pPr>
      <w:r>
        <w:rPr>
          <w:rFonts w:ascii="Calibri" w:hAnsi="Calibri"/>
          <w:b w:val="0"/>
          <w:color w:val="5A5A5A"/>
          <w:sz w:val="22"/>
        </w:rPr>
        <w:t>Código-fonte, documentação, scripts de build, instalador e artefatos correlatos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951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9F1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2B4A"/>
                <w:sz w:val="21"/>
              </w:rPr>
              <w:t>Data da avaliação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1"/>
              </w:rPr>
              <w:t>08/06/2026</w:t>
            </w:r>
          </w:p>
        </w:tc>
      </w:tr>
      <w:tr>
        <w:tc>
          <w:tcPr>
            <w:tcW w:type="dxa" w:w="2951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9F1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2B4A"/>
                <w:sz w:val="21"/>
              </w:rPr>
              <w:t>Modelo avaliado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1"/>
              </w:rPr>
              <w:t>Venda exclusiva / cessão patrimonial integral</w:t>
            </w:r>
          </w:p>
        </w:tc>
      </w:tr>
      <w:tr>
        <w:tc>
          <w:tcPr>
            <w:tcW w:type="dxa" w:w="2951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9F1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2B4A"/>
                <w:sz w:val="21"/>
              </w:rPr>
              <w:t>Escopo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1"/>
              </w:rPr>
              <w:t>Ativo de software sem retenção de propriedade pelo vendedor</w:t>
            </w:r>
          </w:p>
        </w:tc>
      </w:tr>
      <w:tr>
        <w:tc>
          <w:tcPr>
            <w:tcW w:type="dxa" w:w="2951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9F1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2B4A"/>
                <w:sz w:val="21"/>
              </w:rPr>
              <w:t>Observação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1"/>
              </w:rPr>
              <w:t>Avaliação baseada no repositório local e nos artefatos presentes no workspace</w:t>
            </w:r>
          </w:p>
        </w:tc>
      </w:tr>
    </w:tbl>
    <w:p>
      <w:r>
        <w:br w:type="page"/>
      </w:r>
    </w:p>
    <w:p>
      <w:pPr>
        <w:pStyle w:val="Heading1"/>
      </w:pPr>
      <w:r>
        <w:t>1. Resumo executivo</w:t>
      </w:r>
    </w:p>
    <w:p>
      <w:r>
        <w:rPr>
          <w:rFonts w:ascii="Calibri" w:hAnsi="Calibri"/>
          <w:color w:val="222222"/>
          <w:sz w:val="22"/>
        </w:rPr>
        <w:t>A análise do repositório indica que o Requisições App é um ativo de software maduro, com cliente desktop em PySide6, API em FastAPI, banco PostgreSQL, automações de backup, sistema de atualização, documentação técnica, testes e pipeline de release para Windows.</w:t>
      </w:r>
    </w:p>
    <w:p>
      <w:r>
        <w:rPr>
          <w:rFonts w:ascii="Calibri" w:hAnsi="Calibri"/>
          <w:color w:val="222222"/>
          <w:sz w:val="22"/>
        </w:rPr>
        <w:t>Para uma venda integral, sem manutenção de titularidade pelo vendedor, o ativo deve ser precificado acima de uma simples licença de uso, porque a negociação transfere o valor do código autoral, da lógica de negócio incorporada, do histórico evolutivo e do potencial de reuso futuro.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10" w:type="dxa"/>
              <w:bottom w:w="110" w:type="dxa"/>
              <w:start w:w="140" w:type="dxa"/>
              <w:end w:w="140" w:type="dxa"/>
            </w:tcMar>
            <w:shd w:val="clear" w:color="auto" w:fill="E9F1F7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42B4A"/>
                <w:sz w:val="22"/>
              </w:rPr>
              <w:t>Recomendação objetiva</w:t>
            </w:r>
          </w:p>
          <w:p>
            <w:pPr>
              <w:spacing w:after="0"/>
            </w:pPr>
            <w:r>
              <w:rPr>
                <w:rFonts w:ascii="Calibri" w:hAnsi="Calibri"/>
                <w:color w:val="222222"/>
                <w:sz w:val="21"/>
              </w:rPr>
              <w:t>Ofertar a venda integral por R$ 168.000,00, trabalhar para fechar entre R$ 145.000,00 e R$ 160.000,00, e evitar descer abaixo de R$ 125.000,00 salvo necessidade de liquidação rápida.</w:t>
            </w:r>
          </w:p>
        </w:tc>
      </w:tr>
    </w:tbl>
    <w:p/>
    <w:p>
      <w:pPr>
        <w:pStyle w:val="Heading1"/>
      </w:pPr>
      <w:r>
        <w:t>2. Métricas do ativo analisado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Arquivos totais do repositório avaliado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194</w:t>
            </w:r>
          </w:p>
        </w:tc>
      </w:tr>
      <w:tr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Arquivos Python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122</w:t>
            </w:r>
          </w:p>
        </w:tc>
      </w:tr>
      <w:tr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Linhas aproximadas de Python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50.342</w:t>
            </w:r>
          </w:p>
        </w:tc>
      </w:tr>
      <w:tr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Commits no histórico Git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1071</w:t>
            </w:r>
          </w:p>
        </w:tc>
      </w:tr>
      <w:tr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Tags de versão encontradas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v1.0.0, v1.1.0, v1.2.0, v1.3.0</w:t>
            </w:r>
          </w:p>
        </w:tc>
      </w:tr>
      <w:tr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Telas/arquivos de views no cliente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16</w:t>
            </w:r>
          </w:p>
        </w:tc>
      </w:tr>
      <w:tr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Endpoints FastAPI mapeados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76</w:t>
            </w:r>
          </w:p>
        </w:tc>
      </w:tr>
      <w:tr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Modelos ORM identificados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16</w:t>
            </w:r>
          </w:p>
        </w:tc>
      </w:tr>
      <w:tr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Arquivos de teste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7</w:t>
            </w:r>
          </w:p>
        </w:tc>
      </w:tr>
      <w:tr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Arquivos de documentação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7</w:t>
            </w:r>
          </w:p>
        </w:tc>
      </w:tr>
      <w:tr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Ativos visuais empacotados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39</w:t>
            </w:r>
          </w:p>
        </w:tc>
      </w:tr>
    </w:tbl>
    <w:p/>
    <w:p>
      <w:pPr>
        <w:pStyle w:val="Heading1"/>
      </w:pPr>
      <w:r>
        <w:t>3. Escopo da venda de 100%</w:t>
      </w:r>
    </w:p>
    <w:p>
      <w:r>
        <w:rPr>
          <w:rFonts w:ascii="Calibri" w:hAnsi="Calibri"/>
          <w:color w:val="222222"/>
          <w:sz w:val="22"/>
        </w:rPr>
        <w:t>Esta proposta considera a cessão patrimonial integral do ativo de software em seu estado atual, incluindo: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código-fonte do cliente desktop, do servidor FastAPI e dos módulos auxiliares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modelagem de banco, schemas, regras de negócio, testes, scripts de seed e migração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documentação técnica, manual de usuário, notas de release e scripts de geração documental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scripts de empacotamento com PyInstaller, instalador Inno Setup e workflow de release do GitHub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ativos visuais do projeto, fontes empacotadas, ícones, imagens e arquivos auxiliares do produto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direito de alterar, empacotar, instalar e evoluir o software sem retenção de propriedade pelo vendedor</w:t>
      </w:r>
    </w:p>
    <w:p>
      <w:r>
        <w:rPr>
          <w:rFonts w:ascii="Calibri" w:hAnsi="Calibri"/>
          <w:color w:val="222222"/>
          <w:sz w:val="22"/>
        </w:rPr>
        <w:t>Itens que normalmente ficam fora da cessão, salvo cláusula contratual expressa: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licenças proprietárias de terceiros e titularidade de bibliotecas open source, que permanecem sob suas licenças originais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dados reais de produção, credenciais, contas externas, hardware e infraestrutura física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suporte continuado, manutenção evolutiva e operação assistida por prazo indeterminado</w:t>
      </w:r>
    </w:p>
    <w:p>
      <w:pPr>
        <w:pStyle w:val="Heading1"/>
      </w:pPr>
      <w:r>
        <w:t>4. O que existe no sistema hoje</w:t>
      </w:r>
    </w:p>
    <w:p>
      <w:r>
        <w:rPr>
          <w:rFonts w:ascii="Calibri" w:hAnsi="Calibri"/>
          <w:color w:val="222222"/>
          <w:sz w:val="22"/>
        </w:rPr>
        <w:t>Abaixo está o inventário consolidado do ativo encontrado no repositório. A pasta local `venv/` não foi considerada na avaliação econômica por ser ambiente reproduzível e não ativo autoral essencial.</w:t>
      </w:r>
    </w:p>
    <w:p>
      <w:pPr>
        <w:pStyle w:val="Heading2"/>
      </w:pPr>
      <w:r>
        <w:t>4.1 Componentes funcionais e de negócio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login, primeiro acesso, troca de senha e controle de sessão por perfil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central de pedidos, formulário de requisição, histórico, entregas, produção e dashboard gerencial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editor gráfico/canvas com linhas, formas, cotas, texto, imagens e persistência no banco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geração automática de PDF com QR code, assinatura, renderização do desenho e roteamento por pasta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notificações em tempo real via SSE, painel lateral, badge e toasts no cliente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cadastros e importação em lote de usuários, clientes, produtos, operadores e máquinas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backup automatizado com retenção diária, semanal e mensal, mais cópia das configurações operacionais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auto-update do executável via GitHub Releases, helper externo e mecanismo de rollback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painel técnico, métricas de runtime, cache em memória e scheduler de alertas operacionais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módulo de feedback com status, publicação, reações e contagem de não lidos</w:t>
      </w:r>
    </w:p>
    <w:p>
      <w:pPr>
        <w:pStyle w:val="Heading2"/>
      </w:pPr>
      <w:r>
        <w:t>4.2 Inventário por diretório</w:t>
      </w:r>
    </w:p>
    <w:p>
      <w:pPr>
        <w:pStyle w:val="Heading3"/>
      </w:pPr>
      <w:r>
        <w:t>Raiz do projeto (29)</w:t>
      </w:r>
    </w:p>
    <w:p>
      <w:r>
        <w:rPr>
          <w:rFonts w:ascii="Calibri" w:hAnsi="Calibri"/>
          <w:color w:val="222222"/>
          <w:sz w:val="22"/>
        </w:rPr>
        <w:t>.env.example, .gitignore, bandeja_1.png, bandeja_1_final.png, bandeja_1_v2.png, bandeja_2.png, bandeja_2_final.png, bandeja_2_v2.png, bandeja_3.png, bandeja_3_final.png, bandeja_3_v2.png, bandeja_4_final.png, calha_1_aba_3d.png, calha_3d.png, criar_admin.py, INICIAR_CLIENTE.bat, INICIAR_SERVIDOR.bat, installer_script.iss, migrate_to_pg.py, README.md, release_notes.md, requirements.txt, requisicoes.spec, ROADMAP.md, run.py, run_client.py, theme-preview-cobalto.svg, tmp_test_qr.pdf, update_helper.spec</w:t>
      </w:r>
    </w:p>
    <w:p>
      <w:pPr>
        <w:pStyle w:val="Heading3"/>
      </w:pPr>
      <w:r>
        <w:t>GitHub workflow (1)</w:t>
      </w:r>
    </w:p>
    <w:p>
      <w:r>
        <w:rPr>
          <w:rFonts w:ascii="Calibri" w:hAnsi="Calibri"/>
          <w:color w:val="222222"/>
          <w:sz w:val="22"/>
        </w:rPr>
        <w:t>build_release.yml</w:t>
      </w:r>
    </w:p>
    <w:p>
      <w:pPr>
        <w:pStyle w:val="Heading3"/>
      </w:pPr>
      <w:r>
        <w:t>client/api (2)</w:t>
      </w:r>
    </w:p>
    <w:p>
      <w:r>
        <w:rPr>
          <w:rFonts w:ascii="Calibri" w:hAnsi="Calibri"/>
          <w:color w:val="222222"/>
          <w:sz w:val="22"/>
        </w:rPr>
        <w:t>__init__.py, client.py</w:t>
      </w:r>
    </w:p>
    <w:p>
      <w:pPr>
        <w:pStyle w:val="Heading3"/>
      </w:pPr>
      <w:r>
        <w:t>client/core (11)</w:t>
      </w:r>
    </w:p>
    <w:p>
      <w:r>
        <w:rPr>
          <w:rFonts w:ascii="Calibri" w:hAnsi="Calibri"/>
          <w:color w:val="222222"/>
          <w:sz w:val="22"/>
        </w:rPr>
        <w:t>__init__.py, datetime_utils.py, dialogs.py, formatters.py, login_backgrounds.py, orthography.py, pdf_folders.py, resolution.py, session.py, text_case.py, theme.py</w:t>
      </w:r>
    </w:p>
    <w:p>
      <w:pPr>
        <w:pStyle w:val="Heading3"/>
      </w:pPr>
      <w:r>
        <w:t>client/services (6)</w:t>
      </w:r>
    </w:p>
    <w:p>
      <w:r>
        <w:rPr>
          <w:rFonts w:ascii="Calibri" w:hAnsi="Calibri"/>
          <w:color w:val="222222"/>
          <w:sz w:val="22"/>
        </w:rPr>
        <w:t>__init__.py, client_importer.py, notification_listener.py, pdf_generator.py, product_importer.py, user_importer.py</w:t>
      </w:r>
    </w:p>
    <w:p>
      <w:pPr>
        <w:pStyle w:val="Heading3"/>
      </w:pPr>
      <w:r>
        <w:t>client/views (17)</w:t>
      </w:r>
    </w:p>
    <w:p>
      <w:r>
        <w:rPr>
          <w:rFonts w:ascii="Calibri" w:hAnsi="Calibri"/>
          <w:color w:val="222222"/>
          <w:sz w:val="22"/>
        </w:rPr>
        <w:t>__init__.py, client_center_view.py, dashboard_view.py, delivery_center_view.py, feedback_view.py, history_view.py, login_view.py, machine_center_view.py, main_window.py, operator_center_view.py, order_center_view.py, production_view.py, requisition_form.py, settings_view.py, system_updates_view.py, technical_panel_view.py, user_center_view.py</w:t>
      </w:r>
    </w:p>
    <w:p>
      <w:pPr>
        <w:pStyle w:val="Heading3"/>
      </w:pPr>
      <w:r>
        <w:t>client/widgets (12)</w:t>
      </w:r>
    </w:p>
    <w:p>
      <w:r>
        <w:rPr>
          <w:rFonts w:ascii="Calibri" w:hAnsi="Calibri"/>
          <w:color w:val="222222"/>
          <w:sz w:val="22"/>
        </w:rPr>
        <w:t>__init__.py, canvas_widget.py, item_table.py, notification_panel.py, notification_toast.py, onboarding_dialog.py, sidebar.py, smooth_scroll.py, sortable_item.py, spotlight_overlay.py, status_badge.py, update_dialog.py</w:t>
      </w:r>
    </w:p>
    <w:p>
      <w:pPr>
        <w:pStyle w:val="Heading3"/>
      </w:pPr>
      <w:r>
        <w:t>server (6)</w:t>
      </w:r>
    </w:p>
    <w:p>
      <w:r>
        <w:rPr>
          <w:rFonts w:ascii="Calibri" w:hAnsi="Calibri"/>
          <w:color w:val="222222"/>
          <w:sz w:val="22"/>
        </w:rPr>
        <w:t>__init__.py, config.py, database.py, dependencies.py, main.py, seed.py</w:t>
      </w:r>
    </w:p>
    <w:p>
      <w:pPr>
        <w:pStyle w:val="Heading3"/>
      </w:pPr>
      <w:r>
        <w:t>server/models (10)</w:t>
      </w:r>
    </w:p>
    <w:p>
      <w:r>
        <w:rPr>
          <w:rFonts w:ascii="Calibri" w:hAnsi="Calibri"/>
          <w:color w:val="222222"/>
          <w:sz w:val="22"/>
        </w:rPr>
        <w:t>__init__.py, audit.py, client.py, feedback.py, notification.py, operator.py, product.py, production_machine.py, requisition.py, user.py</w:t>
      </w:r>
    </w:p>
    <w:p>
      <w:pPr>
        <w:pStyle w:val="Heading3"/>
      </w:pPr>
      <w:r>
        <w:t>server/routers (12)</w:t>
      </w:r>
    </w:p>
    <w:p>
      <w:r>
        <w:rPr>
          <w:rFonts w:ascii="Calibri" w:hAnsi="Calibri"/>
          <w:color w:val="222222"/>
          <w:sz w:val="22"/>
        </w:rPr>
        <w:t>__init__.py, auth.py, backup.py, clients.py, feedbacks.py, notifications.py, operators.py, production_machines.py, products.py, requisitions.py, system_settings.py, users.py</w:t>
      </w:r>
    </w:p>
    <w:p>
      <w:pPr>
        <w:pStyle w:val="Heading3"/>
      </w:pPr>
      <w:r>
        <w:t>server/schemas (15)</w:t>
      </w:r>
    </w:p>
    <w:p>
      <w:r>
        <w:rPr>
          <w:rFonts w:ascii="Calibri" w:hAnsi="Calibri"/>
          <w:color w:val="222222"/>
          <w:sz w:val="22"/>
        </w:rPr>
        <w:t>__init__.py, auth.py, backup_settings.py, client.py, dashboard.py, delivery_center.py, feedback.py, notification.py, order_center.py, product.py, production.py, production_machine_registry.py, requisition.py, system_settings.py, user.py</w:t>
      </w:r>
    </w:p>
    <w:p>
      <w:pPr>
        <w:pStyle w:val="Heading3"/>
      </w:pPr>
      <w:r>
        <w:t>server/services (12)</w:t>
      </w:r>
    </w:p>
    <w:p>
      <w:r>
        <w:rPr>
          <w:rFonts w:ascii="Calibri" w:hAnsi="Calibri"/>
          <w:color w:val="222222"/>
          <w:sz w:val="22"/>
        </w:rPr>
        <w:t>__init__.py, alert_scheduler.py, audit_service.py, auth_service.py, backup_service.py, backup_settings_service.py, cache.py, notification_service.py, runtime_monitor.py, sse_manager.py, system_settings.py, text_normalizer.py</w:t>
      </w:r>
    </w:p>
    <w:p>
      <w:pPr>
        <w:pStyle w:val="Heading3"/>
      </w:pPr>
      <w:r>
        <w:t>tests (8)</w:t>
      </w:r>
    </w:p>
    <w:p>
      <w:r>
        <w:rPr>
          <w:rFonts w:ascii="Calibri" w:hAnsi="Calibri"/>
          <w:color w:val="222222"/>
          <w:sz w:val="22"/>
        </w:rPr>
        <w:t>__init__.py, test_dashboard_iar.py, test_delivery_center_summary.py, test_order_center_summary.py, test_pdf_folders.py, test_production_splits.py, test_resolution.py, test_sorting_rules.py</w:t>
      </w:r>
    </w:p>
    <w:p>
      <w:pPr>
        <w:pStyle w:val="Heading3"/>
      </w:pPr>
      <w:r>
        <w:t>docs (7)</w:t>
      </w:r>
    </w:p>
    <w:p>
      <w:r>
        <w:rPr>
          <w:rFonts w:ascii="Calibri" w:hAnsi="Calibri"/>
          <w:color w:val="222222"/>
          <w:sz w:val="22"/>
        </w:rPr>
        <w:t>_build_docs.py, documentacao-tecnica.md, generate_proposal_pdfs.py, manual-usuario.md, proposta-cessao-patrimonial-requisicoes-app.pdf, proposta-comercial-juridica-requisicoes-app.md, proposta-licenca-de-uso-requisicoes-app.pdf</w:t>
      </w:r>
    </w:p>
    <w:p>
      <w:pPr>
        <w:pStyle w:val="Heading3"/>
      </w:pPr>
      <w:r>
        <w:t>client/assets/dashboard_icons (9)</w:t>
      </w:r>
    </w:p>
    <w:p>
      <w:r>
        <w:rPr>
          <w:rFonts w:ascii="Calibri" w:hAnsi="Calibri"/>
          <w:color w:val="222222"/>
          <w:sz w:val="22"/>
        </w:rPr>
        <w:t>dashboard_icons/aguardando_recebimento.png, dashboard_icons/pedidos_atrasados.png, dashboard_icons/pedidos_cancelados.png, dashboard_icons/pedidos_concluidos.png, dashboard_icons/pedidos_em_producao.png, dashboard_icons/producao_ar.png, dashboard_icons/producao_pinheiro_industria.png, dashboard_icons/requisicoes_do_dia.png, dashboard_icons/tempo_medio_producao.png</w:t>
      </w:r>
    </w:p>
    <w:p>
      <w:pPr>
        <w:pStyle w:val="Heading3"/>
      </w:pPr>
      <w:r>
        <w:t>client/assets/fonts (6)</w:t>
      </w:r>
    </w:p>
    <w:p>
      <w:r>
        <w:rPr>
          <w:rFonts w:ascii="Calibri" w:hAnsi="Calibri"/>
          <w:color w:val="222222"/>
          <w:sz w:val="22"/>
        </w:rPr>
        <w:t>fonts/Inter-Bold.ttf, fonts/Inter-Medium.ttf, fonts/Inter-Regular.ttf, fonts/Inter-SemiBold.ttf, fonts/Montserrat-Bold.ttf, fonts/Montserrat-Regular.ttf</w:t>
      </w:r>
    </w:p>
    <w:p>
      <w:pPr>
        <w:pStyle w:val="Heading3"/>
      </w:pPr>
      <w:r>
        <w:t>client/assets/icons (2)</w:t>
      </w:r>
    </w:p>
    <w:p>
      <w:r>
        <w:rPr>
          <w:rFonts w:ascii="Calibri" w:hAnsi="Calibri"/>
          <w:color w:val="222222"/>
          <w:sz w:val="22"/>
        </w:rPr>
        <w:t>icons/icon.ico, icons/icon_setup.ico</w:t>
      </w:r>
    </w:p>
    <w:p>
      <w:pPr>
        <w:pStyle w:val="Heading3"/>
      </w:pPr>
      <w:r>
        <w:t>client/assets/login_backgrounds (2)</w:t>
      </w:r>
    </w:p>
    <w:p>
      <w:r>
        <w:rPr>
          <w:rFonts w:ascii="Calibri" w:hAnsi="Calibri"/>
          <w:color w:val="222222"/>
          <w:sz w:val="22"/>
        </w:rPr>
        <w:t>login_backgrounds/copa_do_mundo.png, login_backgrounds/festa_junina.png</w:t>
      </w:r>
    </w:p>
    <w:p>
      <w:pPr>
        <w:pStyle w:val="Heading3"/>
      </w:pPr>
      <w:r>
        <w:t>client/assets/sidebar_icons (17)</w:t>
      </w:r>
    </w:p>
    <w:p>
      <w:r>
        <w:rPr>
          <w:rFonts w:ascii="Calibri" w:hAnsi="Calibri"/>
          <w:color w:val="222222"/>
          <w:sz w:val="22"/>
        </w:rPr>
        <w:t>sidebar_icons/ar.png, sidebar_icons/atualizacao.png, sidebar_icons/central_de_pedidos.png, sidebar_icons/config.png, sidebar_icons/dashboard.png, sidebar_icons/entregas.png, sidebar_icons/feedback.png, sidebar_icons/historico.png, sidebar_icons/notificacoes.png, sidebar_icons/nova.png, sidebar_icons/pedidos.png, sidebar_icons/pinheiro_industria.png, sidebar_icons/producao.png, sidebar_icons/sair.png, sidebar_icons/tecnico.png, sidebar_icons/usuario.png, sidebar_icons/usuarios.png</w:t>
      </w:r>
    </w:p>
    <w:p>
      <w:pPr>
        <w:pStyle w:val="Heading3"/>
      </w:pPr>
      <w:r>
        <w:t>client/assets (arquivos soltos) (3)</w:t>
      </w:r>
    </w:p>
    <w:p>
      <w:r>
        <w:rPr>
          <w:rFonts w:ascii="Calibri" w:hAnsi="Calibri"/>
          <w:color w:val="222222"/>
          <w:sz w:val="22"/>
        </w:rPr>
        <w:t>logo.png, logo_login.png, logo_sidebar.png</w:t>
      </w:r>
    </w:p>
    <w:p>
      <w:pPr>
        <w:pStyle w:val="Heading1"/>
      </w:pPr>
      <w:r>
        <w:t>5. Metodologia de valuation</w:t>
      </w:r>
    </w:p>
    <w:p>
      <w:r>
        <w:rPr>
          <w:rFonts w:ascii="Calibri" w:hAnsi="Calibri"/>
          <w:color w:val="222222"/>
          <w:sz w:val="22"/>
        </w:rPr>
        <w:t>Como não há dados de faturamento recorrente anexados ao repositório, a avaliação foi baseada principalmente em custo de reposição, complexidade funcional, maturidade dos artefatos e desconto de mercado por se tratar de uma solução vertical e interna.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Bloco de esforço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Faixa estimada</w:t>
            </w:r>
          </w:p>
        </w:tc>
      </w:tr>
      <w:tr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Arquitetura, API, autenticação, banco e permissões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280 a 360 h</w:t>
            </w:r>
          </w:p>
        </w:tc>
      </w:tr>
      <w:tr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Cliente desktop, navegação, UX e telas operacionais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420 a 560 h</w:t>
            </w:r>
          </w:p>
        </w:tc>
      </w:tr>
      <w:tr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Regras de negócio de requisições, produção e entregas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320 a 420 h</w:t>
            </w:r>
          </w:p>
        </w:tc>
      </w:tr>
      <w:tr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Canvas, PDF, notificações, updater e backup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240 a 320 h</w:t>
            </w:r>
          </w:p>
        </w:tc>
      </w:tr>
      <w:tr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Empacotamento, CI/CD, testes, documentação e polimento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180 a 260 h</w:t>
            </w:r>
          </w:p>
        </w:tc>
      </w:tr>
      <w:tr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Esforço total estimado de reposição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1.440 a 1.920 h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Base conservadora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Base alta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Faixa horária de referência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R$ 110,00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R$ 150,00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Custo bruto de reposição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R$ 158.400,00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R$ 288.000,00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Faixa ajustada para venda de ativo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R$ 135.000,00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R$ 165.000,00</w:t>
            </w:r>
          </w:p>
        </w:tc>
      </w:tr>
    </w:tbl>
    <w:p/>
    <w:p>
      <w:r>
        <w:rPr>
          <w:rFonts w:ascii="Calibri" w:hAnsi="Calibri"/>
          <w:color w:val="222222"/>
          <w:sz w:val="22"/>
        </w:rPr>
        <w:t>Ajustes aplicados sobre o custo bruto: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desconto por aderência específica ao fluxo de uma operação industrial/comercial interna, o que reduz o universo de compradores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prêmio por cessão patrimonial total, já que o vendedor deixará de reutilizar economicamente o ativo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prêmio por existência de documentação, testes, instalador e pipeline de release, que diminuem custo de assimilação para o comprador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10" w:type="dxa"/>
              <w:bottom w:w="110" w:type="dxa"/>
              <w:start w:w="140" w:type="dxa"/>
              <w:end w:w="140" w:type="dxa"/>
            </w:tcMar>
            <w:shd w:val="clear" w:color="auto" w:fill="E9F1F7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42B4A"/>
                <w:sz w:val="22"/>
              </w:rPr>
              <w:t>Leitura prática da faixa</w:t>
            </w:r>
          </w:p>
          <w:p>
            <w:pPr>
              <w:spacing w:after="0"/>
            </w:pPr>
            <w:r>
              <w:rPr>
                <w:rFonts w:ascii="Calibri" w:hAnsi="Calibri"/>
                <w:color w:val="222222"/>
                <w:sz w:val="21"/>
              </w:rPr>
              <w:t>A banda de R$ 135 mil a R$ 165 mil é a faixa mais equilibrada para uma venda séria. Abaixo disso o ativo começa a ficar barato diante do custo de reconstrução; acima de R$ 179 mil a venda depende de um comprador que enxergue valor estratégico muito alto no processo já pronto.</w:t>
            </w:r>
          </w:p>
        </w:tc>
      </w:tr>
    </w:tbl>
    <w:p/>
    <w:p>
      <w:pPr>
        <w:pStyle w:val="Heading1"/>
      </w:pPr>
      <w:r>
        <w:t>6. Estratégia de preço recomendada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Leitura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Liquidação rápida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R$ 115.000,00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para fechamento veloz e baixo tempo de transição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Piso técnico de negociação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R$ 125.000,00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não recomendado aceitar abaixo disso sem urgência real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Faixa justa de fechamento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R$ 145.000,00 a R$ 160.000,00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faixa mais defensável para comprador e vendedor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Preço de oferta inicial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R$ 168.000,00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melhor ponto de abertura para negociação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Âncora agressiva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R$ 179.000,00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válida se o comprador enxergar alto valor estratégico</w:t>
            </w:r>
          </w:p>
        </w:tc>
      </w:tr>
    </w:tbl>
    <w:p/>
    <w:p>
      <w:r>
        <w:rPr>
          <w:rFonts w:ascii="Calibri" w:hAnsi="Calibri"/>
          <w:color w:val="222222"/>
          <w:sz w:val="22"/>
        </w:rPr>
        <w:t>Minha recomendação é abrir a conversa em R$ 168.000,00, sustentar a negociação pelo ganho de tempo e pelo custo evitado de reconstrução, e buscar fechamento acima de R$ 145.000,00.</w:t>
      </w:r>
    </w:p>
    <w:p>
      <w:pPr>
        <w:pStyle w:val="Heading1"/>
      </w:pPr>
      <w:r>
        <w:t>7. Condições comerciais sugeridas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objeto: cessão patrimonial integral do software, sem retenção de propriedade pelo vendedor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pagamento sugerido: 60% na assinatura e 40% na entrega formal do pacote e repasse técnico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janela de transição incluída: até 20 horas remotas em até 30 dias corridos após a assinatura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suporte posterior: não incluído; qualquer demanda futura deve ser contratada à parte, se houver interesse do vendedor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validade sugerida da proposta: 15 dias</w:t>
      </w:r>
    </w:p>
    <w:p>
      <w:pPr>
        <w:pStyle w:val="Heading1"/>
      </w:pPr>
      <w:r>
        <w:t>8. Pontos de due diligence antes de vender</w:t>
      </w:r>
    </w:p>
    <w:p>
      <w:r>
        <w:rPr>
          <w:rFonts w:ascii="Calibri" w:hAnsi="Calibri"/>
          <w:color w:val="222222"/>
          <w:sz w:val="22"/>
        </w:rPr>
        <w:t>Antes de encaminhar esta proposta ao comprador, recomendo fechar estes pontos: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formalizar a cadeia de titularidade com todos os contribuidores relevantes do projeto, se houver mais de um autor com participação material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sanitizar o repositório para remover ou rotacionar credenciais, chaves, URLs internas, e dados sensíveis antes da abertura para terceiros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definir se a marca, o nome do sistema, o histórico do repositório Git e os releases do GitHub serão efetivamente transferidos ou apenas exportados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separar claramente o que é código autoral próprio do que é dependência open source de terceiros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10" w:type="dxa"/>
              <w:bottom w:w="110" w:type="dxa"/>
              <w:start w:w="140" w:type="dxa"/>
              <w:end w:w="140" w:type="dxa"/>
            </w:tcMar>
            <w:shd w:val="clear" w:color="auto" w:fill="F8F4E8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42B4A"/>
                <w:sz w:val="22"/>
              </w:rPr>
              <w:t>Observação relevante</w:t>
            </w:r>
          </w:p>
          <w:p>
            <w:pPr>
              <w:spacing w:after="0"/>
            </w:pPr>
            <w:r>
              <w:rPr>
                <w:rFonts w:ascii="Calibri" w:hAnsi="Calibri"/>
                <w:color w:val="222222"/>
                <w:sz w:val="21"/>
              </w:rPr>
              <w:t>O valor econômico da cessão melhora quando o comprador recebe o pacote limpo, documentado e juridicamente regularizado. Essa preparação reduz fricção, diminui pedidos de desconto e acelera o fechamento.</w:t>
            </w:r>
          </w:p>
        </w:tc>
      </w:tr>
    </w:tbl>
    <w:p/>
    <w:p>
      <w:pPr>
        <w:pStyle w:val="Heading1"/>
      </w:pPr>
      <w:r>
        <w:t>9. Conclusão</w:t>
      </w:r>
    </w:p>
    <w:p>
      <w:r>
        <w:rPr>
          <w:rFonts w:ascii="Calibri" w:hAnsi="Calibri"/>
          <w:color w:val="222222"/>
          <w:sz w:val="22"/>
        </w:rPr>
        <w:t>Considerando o volume de código, o número de módulos, a existência de instalador, pipeline de release, documentação, testes e regras de negócio já consolidadas, o Requisições App deve ser tratado como um ativo completo e não como um projeto embrionário.</w:t>
      </w:r>
    </w:p>
    <w:p>
      <w:r>
        <w:rPr>
          <w:rFonts w:ascii="Calibri" w:hAnsi="Calibri"/>
          <w:color w:val="222222"/>
          <w:sz w:val="22"/>
        </w:rPr>
        <w:t>Para venda integral, exclusiva e sem intenção de permanência do vendedor no projeto, a proposta mais equilibrada é apresentar o ativo por R$ 168.000,00, aceitar negociação na faixa de R$ 145.000,00 a R$ 160.000,00 e preservar R$ 125.000,00 como piso técnico mínimo.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8"/>
      </w:rPr>
      <w:t>Requisições App | Avaliação para venda integral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Rule="auto" w:line="319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Rule="auto" w:line="276"/>
      <w:outlineLvl w:val="0"/>
    </w:pPr>
    <w:rPr>
      <w:rFonts w:asciiTheme="majorHAnsi" w:eastAsiaTheme="majorEastAsia" w:hAnsiTheme="majorHAnsi" w:cstheme="majorBidi" w:ascii="Calibri" w:hAnsi="Calibri"/>
      <w:b/>
      <w:bCs/>
      <w:color w:val="2C5D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Calibri" w:hAnsi="Calibri"/>
      <w:b/>
      <w:bCs/>
      <w:color w:val="2C5D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Rule="auto" w:line="276"/>
      <w:outlineLvl w:val="2"/>
    </w:pPr>
    <w:rPr>
      <w:rFonts w:asciiTheme="majorHAnsi" w:eastAsiaTheme="majorEastAsia" w:hAnsiTheme="majorHAnsi" w:cstheme="majorBidi" w:ascii="Calibri" w:hAnsi="Calibri"/>
      <w:b/>
      <w:bCs/>
      <w:color w:val="142B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