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7F3C7193" w14:textId="77777777" w:rsidR="00AD75D5" w:rsidRDefault="00AD75D5" w:rsidP="00AD75D5">
      <w:r>
        <w:rPr>
          <w:rFonts w:ascii="Arial" w:eastAsia="Arial" w:hAnsi="Arial" w:cs="Arial"/>
          <w:sz w:val="48"/>
          <w:szCs w:val="48"/>
        </w:rPr>
        <w:t xml:space="preserve">ALIVE</w:t>
      </w:r>
    </w:p>
    <w:p w14:paraId="4CDE16A1" w14:textId="77777777" w:rsidR="00AD75D5" w:rsidRDefault="00AD75D5" w:rsidP="00AD75D5">
      <w:pPr>
        <w:rPr>
          <w:rFonts w:ascii="Arial" w:eastAsia="Arial" w:hAnsi="Arial" w:cs="Arial"/>
          <w:sz w:val="36"/>
          <w:szCs w:val="36"/>
        </w:rPr>
      </w:pPr>
      <w:r>
        <w:rPr>
          <w:rFonts w:ascii="Arial" w:eastAsia="Arial" w:hAnsi="Arial" w:cs="Arial"/>
          <w:sz w:val="36"/>
          <w:szCs w:val="36"/>
        </w:rPr>
        <w:t xml:space="preserve">Community simulation</w:t>
      </w:r>
    </w:p>
    <w:p w14:paraId="7F16ECA3" w14:textId="77777777" w:rsidR="00AD75D5" w:rsidRDefault="00AD75D5" w:rsidP="00AD75D5"/>
    <w:p w14:paraId="2D81145D" w14:textId="773D42C8" w:rsidR="00C540EF" w:rsidRDefault="00681278">
      <w:r>
        <w:rPr>
          <w:rFonts w:ascii="Arial" w:eastAsia="Arial" w:hAnsi="Arial" w:cs="Arial"/>
          <w:sz w:val="48"/>
          <w:szCs w:val="48"/>
        </w:rPr>
        <w:t xml:space="preserve">Research Strategy Comparison</w:t>
      </w:r>
      <w:r w:rsidR="008555F8">
        <w:rPr>
          <w:rFonts w:ascii="Arial" w:eastAsia="Arial" w:hAnsi="Arial" w:cs="Arial"/>
          <w:sz w:val="48"/>
          <w:szCs w:val="48"/>
        </w:rPr>
        <w:t/>
      </w:r>
      <w:bookmarkStart w:id="0" w:name="_GoBack"/>
      <w:bookmarkEnd w:id="0"/>
      <w:r w:rsidR="00AD75D5">
        <w:rPr>
          <w:rFonts w:ascii="Arial" w:eastAsia="Arial" w:hAnsi="Arial" w:cs="Arial"/>
          <w:sz w:val="48"/>
          <w:szCs w:val="48"/>
        </w:rPr>
        <w:t xml:space="preserve"/>
      </w:r>
      <w:r>
        <w:rPr>
          <w:rFonts w:ascii="Arial" w:eastAsia="Arial" w:hAnsi="Arial" w:cs="Arial"/>
          <w:sz w:val="48"/>
          <w:szCs w:val="48"/>
        </w:rPr>
        <w:t/>
      </w:r>
    </w:p>
    <w:p w14:paraId="4BF70408" w14:textId="5695CDFD" w:rsidR="00C540EF" w:rsidRDefault="008555F8">
      <w:proofErr w:type="spellStart"/>
      <w:r>
        <w:rPr>
          <w:rFonts w:ascii="Arial" w:eastAsia="Arial" w:hAnsi="Arial" w:cs="Arial"/>
          <w:sz w:val="36"/>
          <w:szCs w:val="36"/>
        </w:rPr>
        <w:t xml:space="preserve">Design Specification</w:t>
      </w:r>
      <w:proofErr w:type="spellEnd"/>
      <w:r w:rsidR="00681278">
        <w:rPr>
          <w:rFonts w:ascii="Arial" w:eastAsia="Arial" w:hAnsi="Arial" w:cs="Arial"/>
          <w:sz w:val="36"/>
          <w:szCs w:val="36"/>
        </w:rPr>
        <w:t xml:space="preserve"/>
      </w:r>
    </w:p>
    <w:p w14:paraId="5E629559" w14:textId="77777777" w:rsidR="00C540EF" w:rsidRDefault="00681278">
      <w:r>
        <w:rPr>
          <w:rFonts w:ascii="Arial" w:eastAsia="Arial" w:hAnsi="Arial" w:cs="Arial"/>
          <w:sz w:val="28"/>
          <w:szCs w:val="28"/>
        </w:rPr>
        <w:t xml:space="preserve">Version 1.2   28 October 2026</w:t>
      </w:r>
    </w:p>
    <w:p w14:paraId="07086D7F" w14:textId="77777777" w:rsidR="00C540EF" w:rsidRDefault="00C540EF"/>
    <w:p w14:paraId="695D65C5" w14:textId="77777777" w:rsidR="00C540EF" w:rsidRDefault="00C540EF"/>
    <w:p w14:paraId="3F161F17" w14:textId="77777777" w:rsidR="00C540EF" w:rsidRDefault="00681278">
      <w:r>
        <w:rPr>
          <w:rFonts w:ascii="Arial" w:eastAsia="Arial" w:hAnsi="Arial" w:cs="Arial"/>
          <w:sz w:val="36"/>
          <w:szCs w:val="36"/>
        </w:rPr>
        <w:t xml:space="preserve">Akshay Kumar</w:t>
      </w:r>
    </w:p>
    <w:p w14:paraId="4EB39E1B" w14:textId="77777777" w:rsidR="00C540EF" w:rsidRDefault="00681278">
      <w:r>
        <w:rPr>
          <w:rFonts w:ascii="Arial" w:eastAsia="Arial" w:hAnsi="Arial" w:cs="Arial"/>
          <w:sz w:val="36"/>
          <w:szCs w:val="36"/>
        </w:rPr>
        <w:t xml:space="preserve">akshay.kumar01@sjsu.edu</w:t>
      </w:r>
      <w:r w:rsidR="007632D0">
        <w:rPr>
          <w:rFonts w:ascii="Arial" w:eastAsia="Arial" w:hAnsi="Arial" w:cs="Arial"/>
          <w:color w:val="1155CC"/>
          <w:sz w:val="36"/>
          <w:szCs w:val="36"/>
          <w:u w:val="single"/>
        </w:rPr>
        <w:t/>
      </w:r>
      <w:r>
        <w:rPr>
          <w:rFonts w:ascii="Arial" w:eastAsia="Arial" w:hAnsi="Arial" w:cs="Arial"/>
          <w:color w:val="1155CC"/>
          <w:sz w:val="36"/>
          <w:szCs w:val="36"/>
          <w:u w:val="single"/>
        </w:rPr>
        <w:t/>
      </w:r>
      <w:r>
        <w:rPr>
          <w:rFonts w:ascii="Arial" w:eastAsia="Arial" w:hAnsi="Arial" w:cs="Arial"/>
          <w:sz w:val="36"/>
          <w:szCs w:val="36"/>
        </w:rPr>
        <w:t/>
      </w:r>
    </w:p>
    <w:p w14:paraId="5BC54919" w14:textId="77777777" w:rsidR="00C540EF" w:rsidRDefault="00C540EF"/>
    <w:p w14:paraId="3A923560" w14:textId="77777777" w:rsidR="00C540EF" w:rsidRDefault="00681278">
      <w:r>
        <w:br w:type="page"/>
      </w:r>
    </w:p>
    <w:p w14:paraId="16166FEE" w14:textId="77777777" w:rsidR="00C540EF" w:rsidRDefault="00C540EF"/>
    <w:p w14:paraId="75D0BEF2" w14:textId="77777777" w:rsidR="00C540EF" w:rsidRDefault="00C540EF"/>
    <w:p w14:paraId="643A40AC" w14:textId="77777777" w:rsidR="00C540EF" w:rsidRDefault="00C540EF"/>
    <w:p w14:paraId="29D002F1" w14:textId="77777777" w:rsidR="00C540EF" w:rsidRDefault="00C540EF"/>
    <w:p w14:paraId="2C0DA614" w14:textId="77777777" w:rsidR="00C540EF" w:rsidRDefault="00C540EF"/>
    <w:p w14:paraId="22A90E88" w14:textId="77777777" w:rsidR="00C540EF" w:rsidRDefault="00D315EE">
      <w:pPr>
        <w:ind w:left="360"/>
      </w:pPr>
      <w:hyperlink w:anchor="h.gjdgxs">
        <w:r w:rsidR="00681278">
          <w:rPr>
            <w:color w:val="1155CC"/>
            <w:u w:val="single"/>
          </w:rPr>
          <w:t>Version History</w:t>
        </w:r>
      </w:hyperlink>
      <w:hyperlink w:anchor="h.gjdgxs"/>
    </w:p>
    <w:p w14:paraId="4A9F32E6" w14:textId="77777777" w:rsidR="00C540EF" w:rsidRDefault="00D315EE">
      <w:pPr>
        <w:ind w:left="360"/>
      </w:pPr>
      <w:hyperlink w:anchor="h.30j0zll">
        <w:r w:rsidR="00681278">
          <w:rPr>
            <w:color w:val="1155CC"/>
            <w:u w:val="single"/>
          </w:rPr>
          <w:t>Introduction</w:t>
        </w:r>
      </w:hyperlink>
      <w:hyperlink w:anchor="h.30j0zll"/>
    </w:p>
    <w:p w14:paraId="587083EF" w14:textId="77777777" w:rsidR="00C540EF" w:rsidRDefault="00D315EE">
      <w:pPr>
        <w:ind w:left="360"/>
      </w:pPr>
      <w:hyperlink w:anchor="h.1fob9te">
        <w:r w:rsidR="00681278">
          <w:rPr>
            <w:color w:val="1155CC"/>
            <w:u w:val="single"/>
          </w:rPr>
          <w:t>References</w:t>
        </w:r>
      </w:hyperlink>
      <w:hyperlink w:anchor="h.1fob9te"/>
    </w:p>
    <w:p w14:paraId="6F82549E" w14:textId="77777777" w:rsidR="00C540EF" w:rsidRDefault="00D315EE">
      <w:pPr>
        <w:ind w:left="360"/>
      </w:pPr>
      <w:hyperlink w:anchor="h.3znysh7">
        <w:r w:rsidR="00681278">
          <w:rPr>
            <w:color w:val="1155CC"/>
            <w:u w:val="single"/>
          </w:rPr>
          <w:t>Requirements</w:t>
        </w:r>
      </w:hyperlink>
      <w:hyperlink w:anchor="h.3znysh7"/>
    </w:p>
    <w:p w14:paraId="75F527B5" w14:textId="77777777" w:rsidR="00C540EF" w:rsidRDefault="00D315EE">
      <w:pPr>
        <w:ind w:left="360"/>
      </w:pPr>
      <w:hyperlink w:anchor="h.2et92p0">
        <w:r w:rsidR="00681278">
          <w:rPr>
            <w:color w:val="1155CC"/>
            <w:u w:val="single"/>
          </w:rPr>
          <w:t>Functional Overview</w:t>
        </w:r>
      </w:hyperlink>
      <w:hyperlink w:anchor="h.2et92p0"/>
    </w:p>
    <w:p w14:paraId="590143C3" w14:textId="77777777" w:rsidR="00C540EF" w:rsidRDefault="00D315EE">
      <w:pPr>
        <w:ind w:left="720"/>
      </w:pPr>
      <w:hyperlink w:anchor="h.tyjcwt">
        <w:r w:rsidR="00681278">
          <w:rPr>
            <w:color w:val="1155CC"/>
            <w:u w:val="single"/>
          </w:rPr>
          <w:t>Configuration/ External Interfaces</w:t>
        </w:r>
      </w:hyperlink>
      <w:hyperlink w:anchor="h.tyjcwt"/>
    </w:p>
    <w:p w14:paraId="2091772B" w14:textId="77777777" w:rsidR="00C540EF" w:rsidRDefault="00D315EE">
      <w:pPr>
        <w:ind w:left="720"/>
      </w:pPr>
      <w:hyperlink w:anchor="h.3dy6vkm">
        <w:r w:rsidR="00681278">
          <w:rPr>
            <w:color w:val="1155CC"/>
            <w:u w:val="single"/>
          </w:rPr>
          <w:t>Debug</w:t>
        </w:r>
      </w:hyperlink>
      <w:hyperlink w:anchor="h.3dy6vkm"/>
    </w:p>
    <w:p w14:paraId="0795729C" w14:textId="77777777" w:rsidR="00C540EF" w:rsidRDefault="00D315EE">
      <w:pPr>
        <w:ind w:left="1080"/>
      </w:pPr>
      <w:hyperlink w:anchor="h.1t3h5sf">
        <w:r w:rsidR="00681278">
          <w:rPr>
            <w:color w:val="1155CC"/>
            <w:u w:val="single"/>
          </w:rPr>
          <w:t>Logging</w:t>
        </w:r>
      </w:hyperlink>
      <w:hyperlink w:anchor="h.1t3h5sf"/>
    </w:p>
    <w:p w14:paraId="0B5A70D0" w14:textId="77777777" w:rsidR="007632D0" w:rsidRDefault="00D315EE" w:rsidP="007632D0">
      <w:pPr>
        <w:ind w:left="1080"/>
        <w:rPr>
          <w:color w:val="1155CC"/>
          <w:u w:val="single"/>
        </w:rPr>
      </w:pPr>
      <w:hyperlink w:anchor="h.4d34og8">
        <w:r w:rsidR="00681278">
          <w:rPr>
            <w:color w:val="1155CC"/>
            <w:u w:val="single"/>
          </w:rPr>
          <w:t>Counters</w:t>
        </w:r>
      </w:hyperlink>
    </w:p>
    <w:p w14:paraId="27A6A080" w14:textId="77777777" w:rsidR="00C540EF" w:rsidRDefault="00681278" w:rsidP="007632D0">
      <w:pPr>
        <w:ind w:left="360"/>
      </w:pPr>
      <w:r>
        <w:rPr>
          <w:color w:val="1155CC"/>
          <w:u w:val="single"/>
        </w:rPr>
        <w:t>Implementation</w:t>
      </w:r>
      <w:hyperlink w:anchor="h.2s8eyo1"/>
    </w:p>
    <w:p w14:paraId="3E68062C" w14:textId="77777777" w:rsidR="00C540EF" w:rsidRDefault="00D315EE">
      <w:pPr>
        <w:ind w:left="360"/>
      </w:pPr>
      <w:hyperlink w:anchor="h.17dp8vu">
        <w:r w:rsidR="00681278">
          <w:rPr>
            <w:color w:val="1155CC"/>
            <w:u w:val="single"/>
          </w:rPr>
          <w:t>Testing</w:t>
        </w:r>
      </w:hyperlink>
      <w:hyperlink w:anchor="h.17dp8vu"/>
    </w:p>
    <w:p w14:paraId="37C19E40" w14:textId="77777777" w:rsidR="00C540EF" w:rsidRDefault="00D315EE">
      <w:pPr>
        <w:ind w:left="720"/>
      </w:pPr>
      <w:hyperlink w:anchor="h.3rdcrjn">
        <w:r w:rsidR="00681278">
          <w:rPr>
            <w:color w:val="1155CC"/>
            <w:u w:val="single"/>
          </w:rPr>
          <w:t>General Approach</w:t>
        </w:r>
      </w:hyperlink>
      <w:hyperlink w:anchor="h.3rdcrjn"/>
    </w:p>
    <w:p w14:paraId="19E0D60B" w14:textId="77777777" w:rsidR="00C540EF" w:rsidRDefault="00D315EE">
      <w:pPr>
        <w:ind w:left="720"/>
      </w:pPr>
      <w:hyperlink w:anchor="h.26in1rg">
        <w:r w:rsidR="00681278">
          <w:rPr>
            <w:color w:val="1155CC"/>
            <w:u w:val="single"/>
          </w:rPr>
          <w:t>Unit Tests</w:t>
        </w:r>
      </w:hyperlink>
      <w:hyperlink w:anchor="h.26in1rg"/>
    </w:p>
    <w:p w14:paraId="618020D6" w14:textId="77777777" w:rsidR="00C540EF" w:rsidRDefault="00D315EE">
      <w:pPr>
        <w:ind w:left="360"/>
      </w:pPr>
      <w:hyperlink w:anchor="h.lnxbz9">
        <w:r w:rsidR="00681278">
          <w:rPr>
            <w:color w:val="1155CC"/>
            <w:u w:val="single"/>
          </w:rPr>
          <w:t>Appendix</w:t>
        </w:r>
      </w:hyperlink>
      <w:hyperlink w:anchor="h.lnxbz9"/>
    </w:p>
    <w:p w14:paraId="7A390BA1" w14:textId="77777777" w:rsidR="00C540EF" w:rsidRDefault="00681278">
      <w:pPr>
        <w:pStyle w:val="Heading1"/>
        <w:keepNext/>
      </w:pPr>
      <w:bookmarkStart w:id="1" w:name="h.gjdgxs" w:colFirst="0" w:colLast="0"/>
      <w:bookmarkEnd w:id="1"/>
      <w:r>
        <w:t>Version History</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6570"/>
      </w:tblGrid>
      <w:tr w:rsidR="00C540EF" w14:paraId="1A734DFF" w14:textId="77777777">
        <w:tc>
          <w:tcPr>
            <w:tcW w:w="2790" w:type="dxa"/>
            <w:tcMar>
              <w:top w:w="100" w:type="dxa"/>
              <w:left w:w="100" w:type="dxa"/>
              <w:bottom w:w="100" w:type="dxa"/>
              <w:right w:w="100" w:type="dxa"/>
            </w:tcMar>
          </w:tcPr>
          <w:p w14:paraId="798014AC" w14:textId="77777777" w:rsidR="00C540EF" w:rsidRDefault="00681278">
            <w:r>
              <w:rPr>
                <w:b/>
              </w:rPr>
              <w:t>Version</w:t>
            </w:r>
          </w:p>
        </w:tc>
        <w:tc>
          <w:tcPr>
            <w:tcW w:w="6570" w:type="dxa"/>
            <w:tcMar>
              <w:top w:w="100" w:type="dxa"/>
              <w:left w:w="100" w:type="dxa"/>
              <w:bottom w:w="100" w:type="dxa"/>
              <w:right w:w="100" w:type="dxa"/>
            </w:tcMar>
          </w:tcPr>
          <w:p w14:paraId="41A60DFC" w14:textId="77777777" w:rsidR="00C540EF" w:rsidRDefault="00681278">
            <w:r>
              <w:rPr>
                <w:b/>
              </w:rPr>
              <w:t>Changes</w:t>
            </w:r>
          </w:p>
        </w:tc>
      </w:tr>
      <w:tr w:rsidR="00C540EF" w14:paraId="5C212CD3" w14:textId="77777777">
        <w:tc>
          <w:tcPr>
            <w:tcW w:w="2790" w:type="dxa"/>
            <w:tcMar>
              <w:top w:w="100" w:type="dxa"/>
              <w:left w:w="100" w:type="dxa"/>
              <w:bottom w:w="100" w:type="dxa"/>
              <w:right w:w="100" w:type="dxa"/>
            </w:tcMar>
          </w:tcPr>
          <w:p w14:paraId="5483F41F" w14:textId="77777777" w:rsidR="00C540EF" w:rsidRDefault="00C540EF">
            <w:r>
              <w:t>1.0</w:t>
            </w:r>
          </w:p>
        </w:tc>
        <w:tc>
          <w:tcPr>
            <w:tcW w:w="6570" w:type="dxa"/>
            <w:tcMar>
              <w:top w:w="100" w:type="dxa"/>
              <w:left w:w="100" w:type="dxa"/>
              <w:bottom w:w="100" w:type="dxa"/>
              <w:right w:w="100" w:type="dxa"/>
            </w:tcMar>
          </w:tcPr>
          <w:p w14:paraId="653923D9" w14:textId="77777777" w:rsidR="00C540EF" w:rsidRDefault="00C540EF">
            <w:r>
              <w:t>28 October 2026: implemented configurable research strategies, paired evaluation, tests and measured results.</w:t>
            </w:r>
          </w:p>
        </w:tc>
      </w:tr>
      <w:tr w:rsidR="00C540EF" w14:paraId="5C212CD3" w14:textId="77777777">
        <w:tc>
          <w:tcPr>
            <w:tcW w:w="2790" w:type="dxa"/>
            <w:tcMar>
              <w:top w:w="100" w:type="dxa"/>
              <w:left w:w="100" w:type="dxa"/>
              <w:bottom w:w="100" w:type="dxa"/>
              <w:right w:w="100" w:type="dxa"/>
            </w:tcMar>
          </w:tcPr>
          <w:p w14:paraId="5483F41F" w14:textId="77777777" w:rsidR="00C540EF" w:rsidRDefault="00C540EF">
            <w:r>
              <w:t>1.1</w:t>
            </w:r>
          </w:p>
        </w:tc>
        <w:tc>
          <w:tcPr>
            <w:tcW w:w="6570" w:type="dxa"/>
            <w:tcMar>
              <w:top w:w="100" w:type="dxa"/>
              <w:left w:w="100" w:type="dxa"/>
              <w:bottom w:w="100" w:type="dxa"/>
              <w:right w:w="100" w:type="dxa"/>
            </w:tcMar>
          </w:tcPr>
          <w:p w14:paraId="653923D9" w14:textId="77777777" w:rsidR="00C540EF" w:rsidRDefault="00C540EF">
            <w:r>
              <w:t>28 October 2026: expanded Appendix with complete report metrics, paired results, interpretation, reproducibility and evidence references.</w:t>
            </w:r>
          </w:p>
        </w:tc>
      </w:tr>
      <w:tr w:rsidR="00C540EF" w14:paraId="5C212CD3" w14:textId="77777777">
        <w:tc>
          <w:tcPr>
            <w:tcW w:w="2790" w:type="dxa"/>
            <w:tcMar>
              <w:top w:w="100" w:type="dxa"/>
              <w:left w:w="100" w:type="dxa"/>
              <w:bottom w:w="100" w:type="dxa"/>
              <w:right w:w="100" w:type="dxa"/>
            </w:tcMar>
          </w:tcPr>
          <w:p w14:paraId="5483F41F" w14:textId="77777777" w:rsidR="00C540EF" w:rsidRDefault="00C540EF">
            <w:r>
              <w:t>1.2</w:t>
            </w:r>
          </w:p>
        </w:tc>
        <w:tc>
          <w:tcPr>
            <w:tcW w:w="6570" w:type="dxa"/>
            <w:tcMar>
              <w:top w:w="100" w:type="dxa"/>
              <w:left w:w="100" w:type="dxa"/>
              <w:bottom w:w="100" w:type="dxa"/>
              <w:right w:w="100" w:type="dxa"/>
            </w:tcMar>
          </w:tcPr>
          <w:p w14:paraId="653923D9" w14:textId="77777777" w:rsidR="00C540EF" w:rsidRDefault="00C540EF">
            <w:r>
              <w:t>28 October 2026: added data contracts, algorithm steps and concrete tests mapped to requirements.</w:t>
            </w:r>
          </w:p>
        </w:tc>
      </w:tr>
    </w:tbl>
    <w:p w14:paraId="7FC17131" w14:textId="77777777" w:rsidR="00C540EF" w:rsidRDefault="00C540EF"/>
    <w:p w14:paraId="3B205D23" w14:textId="77777777" w:rsidR="00C540EF" w:rsidRDefault="00681278">
      <w:pPr>
        <w:pStyle w:val="Heading1"/>
        <w:pageBreakBefore/>
        <w:keepNext/>
      </w:pPr>
      <w:bookmarkStart w:id="2" w:name="h.30j0zll" w:colFirst="0" w:colLast="0"/>
      <w:bookmarkEnd w:id="2"/>
      <w:r>
        <w:lastRenderedPageBreak/>
        <w:t>Introduction</w:t>
      </w:r>
    </w:p>
    <w:p w14:paraId="63A1D6C3" w14:textId="77777777" w:rsidR="00C540EF" w:rsidRDefault="00681278">
      <w:r>
        <w:t xml:space="preserve">This feature lets a researcher choose how far the rule-based community pursues technology and compare those choices on identical worlds. It addresses handbook task T03: the existing all-research versus no-research experiment found mixed survival value.</w:t>
      </w:r>
    </w:p>
    <w:p w14:paraId="63A1D6C3" w14:textId="77777777" w:rsidR="00C540EF" w:rsidRDefault="00681278">
      <w:pPr>
        <w:widowControl w:val="1"/>
      </w:pPr>
      <w:r>
        <w:t xml:space="preserve">The deliverable adds four research paths, command-line selection, a matched comparison report, and regression tests developed before implementation. The stable 20-seed experiment found only a small mean retention advantage for Fire followed by Cooking; it does not establish a generally superior strategy.</w:t>
      </w:r>
    </w:p>
    <w:p w14:paraId="52B8E8E1" w14:textId="77777777" w:rsidR="00C540EF" w:rsidRDefault="00681278">
      <w:pPr>
        <w:pStyle w:val="Heading1"/>
        <w:keepNext/>
      </w:pPr>
      <w:bookmarkStart w:id="3" w:name="h.1fob9te" w:colFirst="0" w:colLast="0"/>
      <w:bookmarkEnd w:id="3"/>
      <w:r>
        <w:t>References</w:t>
      </w:r>
    </w:p>
    <w:p w14:paraId="1ACAEB1D" w14:textId="77777777" w:rsidR="00C540EF" w:rsidRDefault="00681278">
      <w:pPr>
        <w:jc w:val="left"/>
      </w:pPr>
      <w:r>
        <w:t xml:space="preserve">Project references: README.md, docs/PROJECT_HANDBOOK.md (T03 and D15), and docs/LEVEL_1_GUIDE.md.</w:t>
      </w:r>
      <w:r w:rsidR="00AD75D5">
        <w:t/>
      </w:r>
      <w:r>
        <w:t/>
      </w:r>
    </w:p>
    <w:p w14:paraId="63A1D6C3" w14:textId="77777777" w:rsidR="00C540EF" w:rsidRDefault="00681278">
      <w:pPr>
        <w:widowControl w:val="1"/>
        <w:jc w:val="left"/>
      </w:pPr>
      <w:r>
        <w:t xml:space="preserve">Implementation: src/alive/baseline_agents.py and src/alive/evaluate.py. Tests: tests/test_research_strategies.py. Historical comparison: docs/handbook/evidence/2026-10-16-technology-ablation.json. Current evidence: docs/handbook/evidence/2026-10-28-research-strategies.json.</w:t>
      </w:r>
    </w:p>
    <w:p w14:paraId="63A1D6C3" w14:textId="77777777" w:rsidR="00C540EF" w:rsidRDefault="00681278">
      <w:pPr>
        <w:jc w:val="left"/>
        <w:widowControl w:val="1"/>
        <w:spacing w:after="100"/>
      </w:pPr>
      <w:r>
        <w:t xml:space="preserve">Comparison report and source data: results/research_strategies/report.html, summary.json, research_comparison.json, configuration.json and episodes.csv. The Appendix reproduces all aggregate report metrics and explains their interpretation.</w:t>
      </w:r>
    </w:p>
    <w:p w14:paraId="75AA762C" w14:textId="77777777" w:rsidR="00C540EF" w:rsidRDefault="00681278">
      <w:pPr>
        <w:pStyle w:val="Heading1"/>
        <w:keepNext/>
      </w:pPr>
      <w:bookmarkStart w:id="4" w:name="h.3znysh7" w:colFirst="0" w:colLast="0"/>
      <w:bookmarkEnd w:id="4"/>
      <w:r>
        <w:t>Requirements</w:t>
      </w:r>
    </w:p>
    <w:p w14:paraId="2784707E" w14:textId="77777777" w:rsidR="00C540EF" w:rsidRDefault="00681278">
      <w:r>
        <w:t xml:space="preserve">R1. Support none, fire, cooking and all. Cooking includes Fire as a prerequisite. All preserves the existing research order.</w:t>
      </w:r>
      <w:r w:rsidR="00AD75D5">
        <w:t/>
      </w:r>
      <w:r>
        <w:t xml:space="preserve"/>
      </w:r>
    </w:p>
    <w:p w14:paraId="63A1D6C3" w14:textId="77777777" w:rsidR="00C540EF" w:rsidRDefault="00681278">
      <w:pPr>
        <w:widowControl w:val="1"/>
      </w:pPr>
      <w:r>
        <w:t xml:space="preserve">R2. Apply restrictions to both starting and resuming research; always respect the engine's legal action mask, resource costs and prerequisites.</w:t>
      </w:r>
    </w:p>
    <w:p w14:paraId="63A1D6C3" w14:textId="77777777" w:rsidR="00C540EF" w:rsidRDefault="00681278">
      <w:pPr>
        <w:widowControl w:val="1"/>
      </w:pPr>
      <w:r>
        <w:t xml:space="preserve">R3. Preserve default and legacy no-research behavior. Reject unknown strategies and ambiguous option combinations before creating output.</w:t>
      </w:r>
    </w:p>
    <w:p w14:paraId="63A1D6C3" w14:textId="77777777" w:rsidR="00C540EF" w:rsidRDefault="00681278">
      <w:pPr>
        <w:widowControl w:val="1"/>
      </w:pPr>
      <w:r>
        <w:t xml:space="preserve">R4. Compare the same seeds for every strategy plus Random. Export strategy metadata, full traces, summaries and paired differences against no research.</w:t>
      </w:r>
    </w:p>
    <w:p w14:paraId="63A1D6C3" w14:textId="77777777" w:rsidR="00C540EF" w:rsidRDefault="00681278">
      <w:pPr>
        <w:widowControl w:val="1"/>
      </w:pPr>
      <w:r>
        <w:t xml:space="preserve">R5. Verify reproducibility, backward compatibility and end-to-end command-line behavior. Retain the existing engine, rewards, observations, RL checkpoints and viewer behavior.</w:t>
      </w:r>
    </w:p>
    <w:p w14:paraId="1EDC6B04" w14:textId="77777777" w:rsidR="00C540EF" w:rsidRDefault="00681278">
      <w:pPr>
        <w:pStyle w:val="Heading1"/>
        <w:keepNext/>
      </w:pPr>
      <w:bookmarkStart w:id="5" w:name="h.2et92p0" w:colFirst="0" w:colLast="0"/>
      <w:bookmarkEnd w:id="5"/>
      <w:r>
        <w:t>Functional Overview</w:t>
      </w:r>
    </w:p>
    <w:p w14:paraId="090238BF" w14:textId="77777777" w:rsidR="00C540EF" w:rsidRDefault="00681278">
      <w:r>
        <w:t xml:space="preserve">The evaluator constructs a RuleAgent for each selected path. Each agent uses the same local observation and resource-planning algorithm, with a filtered list of eligible research targets. The engine still decides whether an action is legal.</w:t>
      </w:r>
    </w:p>
    <w:p w14:paraId="63A1D6C3" w14:textId="77777777" w:rsidR="00C540EF" w:rsidRDefault="00681278">
      <w:pPr>
        <w:widowControl w:val="1"/>
      </w:pPr>
      <w:r>
        <w:t xml:space="preserve">Comparison mode resets each controller on every seed and writes its complete trace. It pairs population retention, shortage and return differences with rules_none on the same seed. Changing the research path can also change later gathering and movement decisions; the comparison therefore measures complete strategies rather than isolated technology effects.</w:t>
      </w:r>
    </w:p>
    <w:p w14:paraId="3547A505" w14:textId="77777777" w:rsidR="00C540EF" w:rsidRDefault="00681278">
      <w:pPr>
        <w:pStyle w:val="Heading2"/>
        <w:pageBreakBefore/>
        <w:keepNext/>
      </w:pPr>
      <w:bookmarkStart w:id="6" w:name="h.tyjcwt" w:colFirst="0" w:colLast="0"/>
      <w:bookmarkEnd w:id="6"/>
      <w:r>
        <w:t>Configuration/ External Interfaces</w:t>
      </w:r>
    </w:p>
    <w:p w14:paraId="18927C0C" w14:textId="77777777" w:rsidR="00C540EF" w:rsidRDefault="00681278">
      <w:pPr>
        <w:numPr>
          <w:ilvl w:val="0"/>
          <w:numId w:val="2"/>
        </w:numPr>
        <w:ind w:hanging="359"/>
        <w:contextualSpacing/>
      </w:pPr>
      <w:r>
        <w:t xml:space="preserve">CLI: --research-strategy none|fire|cooking|all selects one Rules path. Default: all. --compare-research-strategies runs all four paths plus Random. --episodes, --seed-start, --scenario and --output keep their existing meanings.</w:t>
      </w:r>
    </w:p>
    <w:p w14:paraId="46AD99EC" w14:textId="77777777" w:rsidR="00C540EF" w:rsidRDefault="00681278">
      <w:pPr>
        <w:numPr>
          <w:ilvl w:val="0"/>
          <w:numId w:val="2"/>
        </w:numPr>
        <w:ind w:hanging="359"/>
        <w:contextualSpacing/>
      </w:pPr>
      <w:r>
        <w:t xml:space="preserve">Python API: RuleAgent(research_strategy="cooking"). Legacy research_enabled=False maps to none; combining false with fire or cooking raises ValueError. Comparison and technology-ablation modes cannot be combined or paired with a non-default single strategy. No new dependencies; baseline evaluation requires Python 3.11 or newer.</w:t>
      </w:r>
    </w:p>
    <w:p w14:paraId="0CF6CA1B" w14:textId="77777777" w:rsidR="00C540EF" w:rsidRDefault="00681278">
      <w:pPr>
        <w:pStyle w:val="Heading2"/>
        <w:keepNext/>
      </w:pPr>
      <w:bookmarkStart w:id="7" w:name="h.3dy6vkm" w:colFirst="0" w:colLast="0"/>
      <w:bookmarkEnd w:id="7"/>
      <w:r>
        <w:t>Debug</w:t>
      </w:r>
    </w:p>
    <w:p w14:paraId="72B41957" w14:textId="77777777" w:rsidR="00C540EF" w:rsidRDefault="00681278">
      <w:r>
        <w:t xml:space="preserve">Inspect configuration.json first to confirm scenario, seeds, controllers and research paths. Investigate unexpected outcomes using the corresponding runs/&lt;controller&gt;_seed_&lt;seed&gt;.json trace and the first-seed replay.</w:t>
      </w:r>
      <w:r w:rsidR="00AD75D5">
        <w:t/>
      </w:r>
    </w:p>
    <w:p w14:paraId="023D0CE7" w14:textId="77777777" w:rsidR="00C540EF" w:rsidRDefault="00681278">
      <w:pPr>
        <w:pStyle w:val="Heading3"/>
        <w:keepNext/>
      </w:pPr>
      <w:bookmarkStart w:id="8" w:name="h.1t3h5sf" w:colFirst="0" w:colLast="0"/>
      <w:bookmarkEnd w:id="8"/>
      <w:r>
        <w:t>Logging</w:t>
      </w:r>
    </w:p>
    <w:p w14:paraId="63A1D6C3" w14:textId="77777777" w:rsidR="00C540EF" w:rsidRDefault="00681278">
      <w:pPr>
        <w:widowControl w:val="1"/>
      </w:pPr>
      <w:r>
        <w:t xml:space="preserve">Logging uses the evaluator's existing JSON console summaries and file outputs. Configuration, per-run JSON, CSV and summaries carry research_strategy metadata; Random and RL use null. research_comparison.json contains all paired differences. report.html presents retention, sample standard deviation, shortage, return and discoveries.</w:t>
      </w:r>
    </w:p>
    <w:p w14:paraId="7B24BBC7" w14:textId="77777777" w:rsidR="00C540EF" w:rsidRDefault="00681278">
      <w:pPr>
        <w:pStyle w:val="Heading3"/>
        <w:keepNext/>
      </w:pPr>
      <w:bookmarkStart w:id="9" w:name="h.4d34og8" w:colFirst="0" w:colLast="0"/>
      <w:bookmarkEnd w:id="9"/>
      <w:r>
        <w:t>Counters</w:t>
      </w:r>
    </w:p>
    <w:p w14:paraId="63A1D6C3" w14:textId="77777777" w:rsidR="00C540EF" w:rsidRDefault="00681278">
      <w:pPr>
        <w:widowControl w:val="1"/>
      </w:pPr>
      <w:r>
        <w:t xml:space="preserve">Counters include population wins, losses and ties against no research, plus existing step and discovery counts. A win means strictly greater final population retained on the same seed. Sample standard deviation describes variation across worlds; it is not a confidence interval.</w:t>
      </w:r>
    </w:p>
    <w:p w14:paraId="4B44B489" w14:textId="77777777" w:rsidR="00C540EF" w:rsidRDefault="00AD75D5">
      <w:pPr>
        <w:pStyle w:val="Heading1"/>
        <w:keepNext/>
      </w:pPr>
      <w:bookmarkStart w:id="10" w:name="h.2s8eyo1" w:colFirst="0" w:colLast="0"/>
      <w:bookmarkEnd w:id="10"/>
      <w:r>
        <w:t>Implementation</w:t>
      </w:r>
    </w:p>
    <w:p w14:paraId="25CEC443" w14:textId="77777777" w:rsidR="00C540EF" w:rsidRDefault="00681278">
      <w:pPr>
        <w:numPr>
          <w:ilvl w:val="0"/>
          <w:numId w:val="1"/>
        </w:numPr>
        <w:ind w:hanging="359"/>
        <w:contextualSpacing/>
      </w:pPr>
      <w:r>
        <w:t xml:space="preserve">Add a fixed mapping of strategy names to prerequisite-respecting technology sequences. Store each agent's effective strategy and filter both research selection loops without changing non-research policy logic.</w:t>
      </w:r>
      <w:r w:rsidR="00AD75D5">
        <w:t/>
      </w:r>
      <w:r>
        <w:t xml:space="preserve"/>
      </w:r>
    </w:p>
    <w:p w14:paraId="084C05AD" w14:textId="77777777" w:rsidR="00C540EF" w:rsidRDefault="00681278">
      <w:pPr>
        <w:numPr>
          <w:ilvl w:val="0"/>
          <w:numId w:val="1"/>
        </w:numPr>
        <w:ind w:hanging="359"/>
        <w:contextualSpacing/>
      </w:pPr>
      <w:r>
        <w:t xml:space="preserve">Extend evaluation and argument parsing; annotate outputs; calculate matched differences and render a report. Add tests first, then implement and run regression checks. Update setup guidance and handbook evidence. No native viewer controls or training changes are included.</w:t>
      </w:r>
    </w:p>
    <w:p w14:paraId="63A1D6C3" w14:textId="77777777" w:rsidR="00C540EF" w:rsidRDefault="00681278">
      <w:pPr>
        <w:jc w:val="left"/>
        <w:widowControl w:val="1"/>
        <w:spacing w:after="100"/>
        <w:pStyle w:val="Heading2"/>
        <w:keepNext/>
        <w:pageBreakBefore/>
      </w:pPr>
      <w:r>
        <w:t xml:space="preserve">Data structures</w:t>
      </w:r>
    </w:p>
    <w:p w14:paraId="63A1D6C3" w14:textId="77777777" w:rsidR="00C540EF" w:rsidRDefault="00681278">
      <w:pPr>
        <w:jc w:val="left"/>
        <w:widowControl w:val="1"/>
        <w:spacing w:after="100"/>
        <w:pStyle w:val="Heading3"/>
        <w:keepNext/>
      </w:pPr>
      <w:r>
        <w:t xml:space="preserve">Strategy mapping and agent state</w:t>
      </w:r>
    </w:p>
    <w:p w14:paraId="63A1D6C3" w14:textId="77777777" w:rsidR="00C540EF" w:rsidRDefault="00681278">
      <w:pPr>
        <w:jc w:val="left"/>
        <w:widowControl w:val="1"/>
        <w:spacing w:after="100"/>
      </w:pPr>
      <w:r>
        <w:t xml:space="preserve">RESEARCH_STRATEGIES is a module-level Python dict[str, tuple[str, ...]]. Tuple order is research priority, not a guarantee that every technology will be discovered. The graph itself is unchanged.</w:t>
      </w:r>
    </w:p>
    <w:p w14:paraId="63A1D6C3" w14:textId="77777777" w:rsidR="00C540EF" w:rsidRDefault="00681278">
      <w:pPr>
        <w:jc w:val="left"/>
        <w:widowControl w:val="1"/>
        <w:spacing w:after="70" w:before="0"/>
        <w:keepLines/>
      </w:pPr>
      <w:r>
        <w:rPr>
          <w:rFonts w:ascii="Courier New" w:hAnsi="Courier New"/>
          <w:sz w:val="18"/>
        </w:rPr>
        <w:t xml:space="preserve">RESEARCH_STRATEGIES = {</w:t>
      </w:r>
      <w:r>
        <w:rPr>
          <w:rFonts w:ascii="Courier New" w:hAnsi="Courier New"/>
          <w:sz w:val="18"/>
        </w:rPr>
        <w:br/>
        <w:t xml:space="preserve">    "none": (),</w:t>
      </w:r>
      <w:r>
        <w:rPr>
          <w:rFonts w:ascii="Courier New" w:hAnsi="Courier New"/>
          <w:sz w:val="18"/>
        </w:rPr>
        <w:br/>
        <w:t xml:space="preserve">    "fire": ("fire",),</w:t>
      </w:r>
      <w:r>
        <w:rPr>
          <w:rFonts w:ascii="Courier New" w:hAnsi="Courier New"/>
          <w:sz w:val="18"/>
        </w:rPr>
        <w:br/>
        <w:t xml:space="preserve">    "cooking": ("fire", "cooking"),</w:t>
      </w:r>
      <w:r>
        <w:rPr>
          <w:rFonts w:ascii="Courier New" w:hAnsi="Courier New"/>
          <w:sz w:val="18"/>
        </w:rPr>
        <w:br/>
        <w:t xml:space="preserve">    "all": ("fire", "cooking", "basic_tools", "storage"),</w:t>
      </w:r>
      <w:r>
        <w:rPr>
          <w:rFonts w:ascii="Courier New" w:hAnsi="Courier New"/>
          <w:sz w:val="18"/>
        </w:rPr>
        <w:br/>
        <w:t xml:space="preserve">}</w:t>
      </w:r>
    </w:p>
    <w:p w14:paraId="63A1D6C3" w14:textId="77777777" w:rsidR="00C540EF" w:rsidRDefault="00681278">
      <w:pPr>
        <w:jc w:val="left"/>
        <w:widowControl w:val="1"/>
        <w:spacing w:after="100"/>
      </w:pPr>
      <w:r>
        <w:t xml:space="preserve">Each RuleAgent stores research_strategy (effective name), research_enabled (effective name != "none"), and _research_order (the corresponding tuple). Legacy research_enabled=False resolves all/none to none and rejects fire/cooking. Non-boolean research_enabled raises TypeError; unknown strategy names raise ValueError. Per-episode memory is reset independently of this configuration.</w:t>
      </w:r>
    </w:p>
    <w:p w14:paraId="63A1D6C3" w14:textId="77777777" w:rsidR="00C540EF" w:rsidRDefault="00681278">
      <w:pPr>
        <w:jc w:val="left"/>
        <w:widowControl w:val="1"/>
        <w:spacing w:after="100"/>
        <w:pStyle w:val="Heading3"/>
        <w:keepNext/>
      </w:pPr>
      <w:r>
        <w:t xml:space="preserve">Evaluation configuration</w:t>
      </w:r>
    </w:p>
    <w:p w14:paraId="63A1D6C3" w14:textId="77777777" w:rsidR="00C540EF" w:rsidRDefault="00681278">
      <w:pPr>
        <w:jc w:val="left"/>
        <w:widowControl w:val="1"/>
        <w:spacing w:after="100"/>
      </w:pPr>
      <w:r>
        <w:t xml:space="preserve">configuration.json is written once before rollouts. The selected single strategy defaults to all; comparison defaults to false. The effective per-controller mapping is persisted instead of a separate research_strategy top-level field.</w:t>
      </w:r>
    </w:p>
    <w:tbl>
      <w:tblPr>
        <w:tblW w:w="9360" w:type="dxa"/>
        <w:tblLayout w:type="fixed"/>
        <w:tblBorders>
          <w:top w:val="single" w:sz="6" w:color="D9D9D9"/>
          <w:left w:val="single" w:sz="6" w:color="D9D9D9"/>
          <w:bottom w:val="single" w:sz="6" w:color="D9D9D9"/>
          <w:right w:val="single" w:sz="6" w:color="D9D9D9"/>
          <w:insideH w:val="single" w:sz="6" w:color="D9D9D9"/>
          <w:insideV w:val="single" w:sz="6" w:color="D9D9D9"/>
        </w:tblBorders>
        <w:tblCellMar>
          <w:top w:w="90" w:type="dxa"/>
          <w:bottom w:w="90" w:type="dxa"/>
          <w:left w:w="90" w:type="dxa"/>
          <w:right w:w="90" w:type="dxa"/>
        </w:tblCellMar>
      </w:tblPr>
      <w:tblGrid>
        <w:gridCol w:w="3400"/>
        <w:gridCol w:w="5960"/>
      </w:tblGrid>
      <w:tr>
        <w:trPr>
          <w:cantSplit/>
          <w:tblHeader/>
        </w:trPr>
        <w:tc>
          <w:tcPr>
            <w:tcW w:w="3400" w:type="dxa"/>
            <w:vAlign w:val="center"/>
            <w:shd w:fill="E7E6E6"/>
          </w:tcPr>
          <w:p>
            <w:pPr>
              <w:jc w:val="left"/>
              <w:spacing w:before="0" w:after="0"/>
            </w:pPr>
            <w:r>
              <w:rPr>
                <w:sz w:val="20"/>
                <w:color w:val="000000"/>
                <w:b/>
              </w:rPr>
              <w:t>Field</w:t>
            </w:r>
          </w:p>
        </w:tc>
        <w:tc>
          <w:tcPr>
            <w:tcW w:w="5960" w:type="dxa"/>
            <w:vAlign w:val="center"/>
            <w:shd w:fill="E7E6E6"/>
          </w:tcPr>
          <w:p>
            <w:pPr>
              <w:jc w:val="center"/>
              <w:spacing w:before="0" w:after="0"/>
            </w:pPr>
            <w:r>
              <w:rPr>
                <w:sz w:val="20"/>
                <w:color w:val="000000"/>
                <w:b/>
              </w:rPr>
              <w:t>Type and contract</w:t>
            </w:r>
          </w:p>
        </w:tc>
      </w:tr>
      <w:tr>
        <w:trPr>
          <w:cantSplit/>
        </w:trPr>
        <w:tc>
          <w:tcPr>
            <w:tcW w:w="3400" w:type="dxa"/>
            <w:vAlign w:val="center"/>
          </w:tcPr>
          <w:p>
            <w:pPr>
              <w:jc w:val="left"/>
              <w:spacing w:before="0" w:after="0"/>
            </w:pPr>
            <w:r>
              <w:rPr>
                <w:sz w:val="20"/>
                <w:color w:val="000000"/>
              </w:rPr>
              <w:t>scenario</w:t>
            </w:r>
          </w:p>
        </w:tc>
        <w:tc>
          <w:tcPr>
            <w:tcW w:w="5960" w:type="dxa"/>
            <w:vAlign w:val="center"/>
          </w:tcPr>
          <w:p>
            <w:pPr>
              <w:jc w:val="center"/>
              <w:spacing w:before="0" w:after="0"/>
            </w:pPr>
            <w:r>
              <w:rPr>
                <w:sz w:val="20"/>
                <w:color w:val="000000"/>
              </w:rPr>
              <w:t>string; stable or scarcity</w:t>
            </w:r>
          </w:p>
        </w:tc>
      </w:tr>
      <w:tr>
        <w:trPr>
          <w:cantSplit/>
        </w:trPr>
        <w:tc>
          <w:tcPr>
            <w:tcW w:w="3400" w:type="dxa"/>
            <w:vAlign w:val="center"/>
          </w:tcPr>
          <w:p>
            <w:pPr>
              <w:jc w:val="left"/>
              <w:spacing w:before="0" w:after="0"/>
            </w:pPr>
            <w:r>
              <w:rPr>
                <w:sz w:val="20"/>
                <w:color w:val="000000"/>
              </w:rPr>
              <w:t>episodes / seed_start</w:t>
            </w:r>
          </w:p>
        </w:tc>
        <w:tc>
          <w:tcPr>
            <w:tcW w:w="5960" w:type="dxa"/>
            <w:vAlign w:val="center"/>
          </w:tcPr>
          <w:p>
            <w:pPr>
              <w:jc w:val="center"/>
              <w:spacing w:before="0" w:after="0"/>
            </w:pPr>
            <w:r>
              <w:rPr>
                <w:sz w:val="20"/>
                <w:color w:val="000000"/>
              </w:rPr>
              <w:t>integers; episodes &gt;= 1, seed_start &gt;= 0</w:t>
            </w:r>
          </w:p>
        </w:tc>
      </w:tr>
      <w:tr>
        <w:trPr>
          <w:cantSplit/>
        </w:trPr>
        <w:tc>
          <w:tcPr>
            <w:tcW w:w="3400" w:type="dxa"/>
            <w:vAlign w:val="center"/>
          </w:tcPr>
          <w:p>
            <w:pPr>
              <w:jc w:val="left"/>
              <w:spacing w:before="0" w:after="0"/>
            </w:pPr>
            <w:r>
              <w:rPr>
                <w:sz w:val="20"/>
                <w:color w:val="000000"/>
              </w:rPr>
              <w:t>seeds</w:t>
            </w:r>
          </w:p>
        </w:tc>
        <w:tc>
          <w:tcPr>
            <w:tcW w:w="5960" w:type="dxa"/>
            <w:vAlign w:val="center"/>
          </w:tcPr>
          <w:p>
            <w:pPr>
              <w:jc w:val="center"/>
              <w:spacing w:before="0" w:after="0"/>
            </w:pPr>
            <w:r>
              <w:rPr>
                <w:sz w:val="20"/>
                <w:color w:val="000000"/>
              </w:rPr>
              <w:t>integer array; range(seed_start, seed_start + episodes)</w:t>
            </w:r>
          </w:p>
        </w:tc>
      </w:tr>
      <w:tr>
        <w:trPr>
          <w:cantSplit/>
        </w:trPr>
        <w:tc>
          <w:tcPr>
            <w:tcW w:w="3400" w:type="dxa"/>
            <w:vAlign w:val="center"/>
          </w:tcPr>
          <w:p>
            <w:pPr>
              <w:jc w:val="left"/>
              <w:spacing w:before="0" w:after="0"/>
            </w:pPr>
            <w:r>
              <w:rPr>
                <w:sz w:val="20"/>
                <w:color w:val="000000"/>
              </w:rPr>
              <w:t>checkpoint</w:t>
            </w:r>
          </w:p>
        </w:tc>
        <w:tc>
          <w:tcPr>
            <w:tcW w:w="5960" w:type="dxa"/>
            <w:vAlign w:val="center"/>
          </w:tcPr>
          <w:p>
            <w:pPr>
              <w:jc w:val="center"/>
              <w:spacing w:before="0" w:after="0"/>
            </w:pPr>
            <w:r>
              <w:rPr>
                <w:sz w:val="20"/>
                <w:color w:val="000000"/>
              </w:rPr>
              <w:t>string path or null; optional existing RL evaluation</w:t>
            </w:r>
          </w:p>
        </w:tc>
      </w:tr>
      <w:tr>
        <w:trPr>
          <w:cantSplit/>
        </w:trPr>
        <w:tc>
          <w:tcPr>
            <w:tcW w:w="3400" w:type="dxa"/>
            <w:vAlign w:val="center"/>
          </w:tcPr>
          <w:p>
            <w:pPr>
              <w:jc w:val="left"/>
              <w:spacing w:before="0" w:after="0"/>
            </w:pPr>
            <w:r>
              <w:rPr>
                <w:sz w:val="20"/>
                <w:color w:val="000000"/>
              </w:rPr>
              <w:t>technology_ablation</w:t>
            </w:r>
          </w:p>
        </w:tc>
        <w:tc>
          <w:tcPr>
            <w:tcW w:w="5960" w:type="dxa"/>
            <w:vAlign w:val="center"/>
          </w:tcPr>
          <w:p>
            <w:pPr>
              <w:jc w:val="center"/>
              <w:spacing w:before="0" w:after="0"/>
            </w:pPr>
            <w:r>
              <w:rPr>
                <w:sz w:val="20"/>
                <w:color w:val="000000"/>
              </w:rPr>
              <w:t>boolean; existing enabled/disabled comparison</w:t>
            </w:r>
          </w:p>
        </w:tc>
      </w:tr>
      <w:tr>
        <w:trPr>
          <w:cantSplit/>
        </w:trPr>
        <w:tc>
          <w:tcPr>
            <w:tcW w:w="3400" w:type="dxa"/>
            <w:vAlign w:val="center"/>
          </w:tcPr>
          <w:p>
            <w:pPr>
              <w:jc w:val="left"/>
              <w:spacing w:before="0" w:after="0"/>
            </w:pPr>
            <w:r>
              <w:rPr>
                <w:sz w:val="20"/>
                <w:color w:val="000000"/>
              </w:rPr>
              <w:t>compare_research_strategies</w:t>
            </w:r>
          </w:p>
        </w:tc>
        <w:tc>
          <w:tcPr>
            <w:tcW w:w="5960" w:type="dxa"/>
            <w:vAlign w:val="center"/>
          </w:tcPr>
          <w:p>
            <w:pPr>
              <w:jc w:val="center"/>
              <w:spacing w:before="0" w:after="0"/>
            </w:pPr>
            <w:r>
              <w:rPr>
                <w:sz w:val="20"/>
                <w:color w:val="000000"/>
              </w:rPr>
              <w:t>boolean; all four rule paths plus Random</w:t>
            </w:r>
          </w:p>
        </w:tc>
      </w:tr>
      <w:tr>
        <w:trPr>
          <w:cantSplit/>
        </w:trPr>
        <w:tc>
          <w:tcPr>
            <w:tcW w:w="3400" w:type="dxa"/>
            <w:vAlign w:val="center"/>
          </w:tcPr>
          <w:p>
            <w:pPr>
              <w:jc w:val="left"/>
              <w:spacing w:before="0" w:after="0"/>
            </w:pPr>
            <w:r>
              <w:rPr>
                <w:sz w:val="20"/>
                <w:color w:val="000000"/>
              </w:rPr>
              <w:t>agents</w:t>
            </w:r>
          </w:p>
        </w:tc>
        <w:tc>
          <w:tcPr>
            <w:tcW w:w="5960" w:type="dxa"/>
            <w:vAlign w:val="center"/>
          </w:tcPr>
          <w:p>
            <w:pPr>
              <w:jc w:val="center"/>
              <w:spacing w:before="0" w:after="0"/>
            </w:pPr>
            <w:r>
              <w:rPr>
                <w:sz w:val="20"/>
                <w:color w:val="000000"/>
              </w:rPr>
              <w:t>string array; exact controller names in this evaluation</w:t>
            </w:r>
          </w:p>
        </w:tc>
      </w:tr>
      <w:tr>
        <w:trPr>
          <w:cantSplit/>
        </w:trPr>
        <w:tc>
          <w:tcPr>
            <w:tcW w:w="3400" w:type="dxa"/>
            <w:vAlign w:val="center"/>
          </w:tcPr>
          <w:p>
            <w:pPr>
              <w:jc w:val="left"/>
              <w:spacing w:before="0" w:after="0"/>
            </w:pPr>
            <w:r>
              <w:rPr>
                <w:sz w:val="20"/>
                <w:color w:val="000000"/>
              </w:rPr>
              <w:t>research_strategies</w:t>
            </w:r>
          </w:p>
        </w:tc>
        <w:tc>
          <w:tcPr>
            <w:tcW w:w="5960" w:type="dxa"/>
            <w:vAlign w:val="center"/>
          </w:tcPr>
          <w:p>
            <w:pPr>
              <w:jc w:val="center"/>
              <w:spacing w:before="0" w:after="0"/>
            </w:pPr>
            <w:r>
              <w:rPr>
                <w:sz w:val="20"/>
                <w:color w:val="000000"/>
              </w:rPr>
              <w:t>object mapping Rules controller names to effective path names; excludes Random/RL</w:t>
            </w:r>
          </w:p>
        </w:tc>
      </w:tr>
    </w:tbl>
    <w:p w14:paraId="63A1D6C3" w14:textId="77777777" w:rsidR="00C540EF" w:rsidRDefault="00681278">
      <w:pPr>
        <w:jc w:val="left"/>
        <w:widowControl w:val="1"/>
        <w:spacing w:after="100"/>
      </w:pPr>
      <w:r>
        <w:t xml:space="preserve"/>
      </w:r>
    </w:p>
    <w:p w14:paraId="63A1D6C3" w14:textId="77777777" w:rsidR="00C540EF" w:rsidRDefault="00681278">
      <w:pPr>
        <w:jc w:val="left"/>
        <w:widowControl w:val="1"/>
        <w:spacing w:after="100"/>
      </w:pPr>
      <w:r>
        <w:t xml:space="preserve">In comparison mode research_strategies is {"rules_none":"none", "rules_fire":"fire", "rules_cooking":"cooking", "rules_all":"all"}. Single-strategy mode uses {"rules":"&lt;selected path&gt;"}. If a checkpoint is supplied, RL can be an additional reference; strategy restrictions do not apply to it.</w:t>
      </w:r>
    </w:p>
    <w:p w14:paraId="63A1D6C3" w14:textId="77777777" w:rsidR="00C540EF" w:rsidRDefault="00681278">
      <w:pPr>
        <w:jc w:val="left"/>
        <w:widowControl w:val="1"/>
        <w:spacing w:after="100"/>
        <w:pStyle w:val="Heading2"/>
        <w:keepNext/>
        <w:pageBreakBefore/>
      </w:pPr>
      <w:r>
        <w:t xml:space="preserve">Run records and comparison schema</w:t>
      </w:r>
    </w:p>
    <w:p w14:paraId="63A1D6C3" w14:textId="77777777" w:rsidR="00C540EF" w:rsidRDefault="00681278">
      <w:pPr>
        <w:jc w:val="left"/>
        <w:widowControl w:val="1"/>
        <w:spacing w:after="100"/>
      </w:pPr>
      <w:r>
        <w:t xml:space="preserve">Each runs/&lt;agent&gt;_seed_&lt;seed&gt;.json preserves the existing run_episode record and adds research_strategy. The agent identity comes from the filename; episodes.csv and summary.json carry an explicit agent field. Random and RL receive null strategy metadata.</w:t>
      </w:r>
    </w:p>
    <w:p w14:paraId="63A1D6C3" w14:textId="77777777" w:rsidR="00C540EF" w:rsidRDefault="00681278">
      <w:pPr>
        <w:jc w:val="left"/>
        <w:widowControl w:val="1"/>
        <w:spacing w:after="70" w:before="0"/>
        <w:keepLines/>
      </w:pPr>
      <w:r>
        <w:rPr>
          <w:rFonts w:ascii="Courier New" w:hAnsi="Courier New"/>
          <w:sz w:val="18"/>
        </w:rPr>
        <w:t xml:space="preserve">Run record field                  JSON type</w:t>
      </w:r>
      <w:r>
        <w:rPr>
          <w:rFonts w:ascii="Courier New" w:hAnsi="Courier New"/>
          <w:sz w:val="18"/>
        </w:rPr>
        <w:br/>
        <w:t xml:space="preserve">scenario                          string</w:t>
      </w:r>
      <w:r>
        <w:rPr>
          <w:rFonts w:ascii="Courier New" w:hAnsi="Courier New"/>
          <w:sz w:val="18"/>
        </w:rPr>
        <w:br/>
        <w:t xml:space="preserve">seed, steps                       integer</w:t>
      </w:r>
      <w:r>
        <w:rPr>
          <w:rFonts w:ascii="Courier New" w:hAnsi="Courier New"/>
          <w:sz w:val="18"/>
        </w:rPr>
        <w:br/>
        <w:t xml:space="preserve">return                            number</w:t>
      </w:r>
      <w:r>
        <w:rPr>
          <w:rFonts w:ascii="Courier New" w:hAnsi="Courier New"/>
          <w:sz w:val="18"/>
        </w:rPr>
        <w:br/>
        <w:t xml:space="preserve">population_retained               number (final / initial)</w:t>
      </w:r>
      <w:r>
        <w:rPr>
          <w:rFonts w:ascii="Courier New" w:hAnsi="Courier New"/>
          <w:sz w:val="18"/>
        </w:rPr>
        <w:br/>
        <w:t xml:space="preserve">shortage_total                    number (cumulative unmet food)</w:t>
      </w:r>
      <w:r>
        <w:rPr>
          <w:rFonts w:ascii="Courier New" w:hAnsi="Courier New"/>
          <w:sz w:val="18"/>
        </w:rPr>
        <w:br/>
        <w:t xml:space="preserve">discovered                        array of technology ID strings</w:t>
      </w:r>
      <w:r>
        <w:rPr>
          <w:rFonts w:ascii="Courier New" w:hAnsi="Courier New"/>
          <w:sz w:val="18"/>
        </w:rPr>
        <w:br/>
        <w:t xml:space="preserve">terminated, truncated             boolean</w:t>
      </w:r>
      <w:r>
        <w:rPr>
          <w:rFonts w:ascii="Courier New" w:hAnsi="Courier New"/>
          <w:sz w:val="18"/>
        </w:rPr>
        <w:br/>
        <w:t xml:space="preserve">trace                             array of existing turn records</w:t>
      </w:r>
      <w:r>
        <w:rPr>
          <w:rFonts w:ascii="Courier New" w:hAnsi="Courier New"/>
          <w:sz w:val="18"/>
        </w:rPr>
        <w:br/>
        <w:t xml:space="preserve">research_strategy                 "none"|"fire"|"cooking"|"all"|null</w:t>
      </w:r>
    </w:p>
    <w:p w14:paraId="63A1D6C3" w14:textId="77777777" w:rsidR="00C540EF" w:rsidRDefault="00681278">
      <w:pPr>
        <w:jc w:val="left"/>
        <w:widowControl w:val="1"/>
        <w:spacing w:after="100"/>
      </w:pPr>
      <w:r>
        <w:t xml:space="preserve">trace is inherited from the engine; it is not a new event schema. Its records retain action, step, population, position, inventories/accounting, shortages, reward components and technology events. len(trace) equals steps. The evaluator removes trace when producing episodes.csv; summary.json aggregates outcomes and retains agent and strategy metadata.</w:t>
      </w:r>
    </w:p>
    <w:p w14:paraId="63A1D6C3" w14:textId="77777777" w:rsidR="00C540EF" w:rsidRDefault="00681278">
      <w:pPr>
        <w:jc w:val="left"/>
        <w:widowControl w:val="1"/>
        <w:spacing w:after="100"/>
      </w:pPr>
      <w:r>
        <w:t xml:space="preserve">research_comparison.json has the following required structure. This is type notation describing JSON fields; braces denote objects, brackets denote arrays, and number means an unrounded JSON number.</w:t>
      </w:r>
    </w:p>
    <w:p w14:paraId="63A1D6C3" w14:textId="77777777" w:rsidR="00C540EF" w:rsidRDefault="00681278">
      <w:pPr>
        <w:jc w:val="left"/>
        <w:widowControl w:val="1"/>
        <w:spacing w:after="70" w:before="0"/>
        <w:keepLines/>
      </w:pPr>
      <w:r>
        <w:rPr>
          <w:rFonts w:ascii="Courier New" w:hAnsi="Courier New"/>
          <w:sz w:val="18"/>
        </w:rPr>
        <w:t xml:space="preserve">ComparisonReport = {</w:t>
      </w:r>
      <w:r>
        <w:rPr>
          <w:rFonts w:ascii="Courier New" w:hAnsi="Courier New"/>
          <w:sz w:val="18"/>
        </w:rPr>
        <w:br/>
        <w:t xml:space="preserve">  "reference_agent": "rules_none",</w:t>
      </w:r>
      <w:r>
        <w:rPr>
          <w:rFonts w:ascii="Courier New" w:hAnsi="Courier New"/>
          <w:sz w:val="18"/>
        </w:rPr>
        <w:br/>
        <w:t xml:space="preserve">  "comparisons": [Comparison, Comparison, Comparison]</w:t>
      </w:r>
      <w:r>
        <w:rPr>
          <w:rFonts w:ascii="Courier New" w:hAnsi="Courier New"/>
          <w:sz w:val="18"/>
        </w:rPr>
        <w:br/>
        <w:t xml:space="preserve">}</w:t>
      </w:r>
      <w:r>
        <w:rPr>
          <w:rFonts w:ascii="Courier New" w:hAnsi="Courier New"/>
          <w:sz w:val="18"/>
        </w:rPr>
        <w:br/>
        <w:t xml:space="preserve">Comparison = {</w:t>
      </w:r>
      <w:r>
        <w:rPr>
          <w:rFonts w:ascii="Courier New" w:hAnsi="Courier New"/>
          <w:sz w:val="18"/>
        </w:rPr>
        <w:br/>
        <w:t xml:space="preserve">  "agent": "rules_fire" | "rules_cooking" | "rules_all",</w:t>
      </w:r>
      <w:r>
        <w:rPr>
          <w:rFonts w:ascii="Courier New" w:hAnsi="Courier New"/>
          <w:sz w:val="18"/>
        </w:rPr>
        <w:br/>
        <w:t xml:space="preserve">  "mean_population_retained_delta": number,</w:t>
      </w:r>
      <w:r>
        <w:rPr>
          <w:rFonts w:ascii="Courier New" w:hAnsi="Courier New"/>
          <w:sz w:val="18"/>
        </w:rPr>
        <w:br/>
        <w:t xml:space="preserve">  "mean_shortage_delta": number,</w:t>
      </w:r>
      <w:r>
        <w:rPr>
          <w:rFonts w:ascii="Courier New" w:hAnsi="Courier New"/>
          <w:sz w:val="18"/>
        </w:rPr>
        <w:br/>
        <w:t xml:space="preserve">  "mean_return_delta": number,</w:t>
      </w:r>
      <w:r>
        <w:rPr>
          <w:rFonts w:ascii="Courier New" w:hAnsi="Courier New"/>
          <w:sz w:val="18"/>
        </w:rPr>
        <w:br/>
        <w:t xml:space="preserve">  "wins": integer, "losses": integer, "ties": integer,</w:t>
      </w:r>
      <w:r>
        <w:rPr>
          <w:rFonts w:ascii="Courier New" w:hAnsi="Courier New"/>
          <w:sz w:val="18"/>
        </w:rPr>
        <w:br/>
        <w:t xml:space="preserve">  "pairs": [Pair, ...]</w:t>
      </w:r>
      <w:r>
        <w:rPr>
          <w:rFonts w:ascii="Courier New" w:hAnsi="Courier New"/>
          <w:sz w:val="18"/>
        </w:rPr>
        <w:br/>
        <w:t xml:space="preserve">}</w:t>
      </w:r>
      <w:r>
        <w:rPr>
          <w:rFonts w:ascii="Courier New" w:hAnsi="Courier New"/>
          <w:sz w:val="18"/>
        </w:rPr>
        <w:br/>
        <w:t xml:space="preserve">Pair = {</w:t>
      </w:r>
      <w:r>
        <w:rPr>
          <w:rFonts w:ascii="Courier New" w:hAnsi="Courier New"/>
          <w:sz w:val="18"/>
        </w:rPr>
        <w:br/>
        <w:t xml:space="preserve">  "seed": integer,</w:t>
      </w:r>
      <w:r>
        <w:rPr>
          <w:rFonts w:ascii="Courier New" w:hAnsi="Courier New"/>
          <w:sz w:val="18"/>
        </w:rPr>
        <w:br/>
        <w:t xml:space="preserve">  "population_retained_delta": number,</w:t>
      </w:r>
      <w:r>
        <w:rPr>
          <w:rFonts w:ascii="Courier New" w:hAnsi="Courier New"/>
          <w:sz w:val="18"/>
        </w:rPr>
        <w:br/>
        <w:t xml:space="preserve">  "shortage_delta": number,</w:t>
      </w:r>
      <w:r>
        <w:rPr>
          <w:rFonts w:ascii="Courier New" w:hAnsi="Courier New"/>
          <w:sz w:val="18"/>
        </w:rPr>
        <w:br/>
        <w:t xml:space="preserve">  "return_delta": number</w:t>
      </w:r>
      <w:r>
        <w:rPr>
          <w:rFonts w:ascii="Courier New" w:hAnsi="Courier New"/>
          <w:sz w:val="18"/>
        </w:rPr>
        <w:br/>
        <w:t xml:space="preserve">}</w:t>
      </w:r>
    </w:p>
    <w:p w14:paraId="63A1D6C3" w14:textId="77777777" w:rsidR="00C540EF" w:rsidRDefault="00681278">
      <w:pPr>
        <w:jc w:val="left"/>
        <w:widowControl w:val="1"/>
        <w:spacing w:after="100"/>
      </w:pPr>
      <w:r>
        <w:t xml:space="preserve">Each candidate has one Pair per evaluation seed, sorted by seed. Pair deltas use the same-seed no-research reference. wins + losses + ties equals episodes. Deltas are ratios in JSON: +0.008176... retention is +0.8176... percentage points after multiplying by 100 for presentation. No-research and Random are not candidate rows in this file.</w:t>
      </w:r>
    </w:p>
    <w:p w14:paraId="63A1D6C3" w14:textId="77777777" w:rsidR="00C540EF" w:rsidRDefault="00681278">
      <w:pPr>
        <w:jc w:val="left"/>
        <w:widowControl w:val="1"/>
        <w:spacing w:after="100"/>
        <w:pStyle w:val="Heading2"/>
        <w:keepNext/>
        <w:pageBreakBefore/>
      </w:pPr>
      <w:r>
        <w:t xml:space="preserve">Algorithms</w:t>
      </w:r>
    </w:p>
    <w:p w14:paraId="63A1D6C3" w14:textId="77777777" w:rsidR="00C540EF" w:rsidRDefault="00681278">
      <w:pPr>
        <w:jc w:val="left"/>
        <w:widowControl w:val="1"/>
        <w:spacing w:after="100"/>
        <w:pStyle w:val="Heading3"/>
        <w:keepNext/>
      </w:pPr>
      <w:r>
        <w:t xml:space="preserve">Research eligibility and selection</w:t>
      </w:r>
    </w:p>
    <w:p w14:paraId="63A1D6C3" w14:textId="77777777" w:rsidR="00C540EF" w:rsidRDefault="00681278">
      <w:pPr>
        <w:jc w:val="left"/>
        <w:widowControl w:val="1"/>
        <w:spacing w:after="100"/>
      </w:pPr>
      <w:r>
        <w:t xml:space="preserve">The constructor resolves the effective strategy. At every action selection, the policy reads its permitted local observation and legal action mask, updates its existing memory, and converts normalized inventories back to resource amounts. Both research loops use _research_order, so a partially researched excluded node cannot bypass the restriction.</w:t>
      </w:r>
    </w:p>
    <w:p w14:paraId="63A1D6C3" w14:textId="77777777" w:rsidR="00C540EF" w:rsidRDefault="00681278">
      <w:pPr>
        <w:jc w:val="left"/>
        <w:widowControl w:val="1"/>
        <w:spacing w:after="70" w:before="0"/>
        <w:keepLines/>
      </w:pPr>
      <w:r>
        <w:rPr>
          <w:rFonts w:ascii="Courier New" w:hAnsi="Courier New"/>
          <w:sz w:val="18"/>
        </w:rPr>
        <w:t xml:space="preserve">for tech in allowed research order:</w:t>
      </w:r>
      <w:r>
        <w:rPr>
          <w:rFonts w:ascii="Courier New" w:hAnsi="Courier New"/>
          <w:sz w:val="18"/>
        </w:rPr>
        <w:br/>
        <w:t xml:space="preserve">    if 0 &lt; progress[tech] &lt; 1 and food &gt;= 6</w:t>
      </w:r>
      <w:r>
        <w:rPr>
          <w:rFonts w:ascii="Courier New" w:hAnsi="Courier New"/>
          <w:sz w:val="18"/>
        </w:rPr>
        <w:br/>
        <w:t xml:space="preserve">       and experiment(tech) is legal:</w:t>
      </w:r>
      <w:r>
        <w:rPr>
          <w:rFonts w:ascii="Courier New" w:hAnsi="Courier New"/>
          <w:sz w:val="18"/>
        </w:rPr>
        <w:br/>
        <w:t xml:space="preserve">        return experiment(tech)       # resume permitted research</w:t>
      </w:r>
      <w:r>
        <w:rPr>
          <w:rFonts w:ascii="Courier New" w:hAnsi="Courier New"/>
          <w:sz w:val="18"/>
        </w:rPr>
        <w:br/>
        <w:t xml:space="preserve">legal_research = allowed technologies whose experiment is legal</w:t>
      </w:r>
      <w:r>
        <w:rPr>
          <w:rFonts w:ascii="Courier New" w:hAnsi="Courier New"/>
          <w:sz w:val="18"/>
        </w:rPr>
        <w:br/>
        <w:t xml:space="preserve">if legal_research is not empty and food &gt;= 8:</w:t>
      </w:r>
      <w:r>
        <w:rPr>
          <w:rFonts w:ascii="Courier New" w:hAnsi="Courier New"/>
          <w:sz w:val="18"/>
        </w:rPr>
        <w:br/>
        <w:t xml:space="preserve">    return experiment(legal_research[0])</w:t>
      </w:r>
      <w:r>
        <w:rPr>
          <w:rFonts w:ascii="Courier New" w:hAnsi="Courier New"/>
          <w:sz w:val="18"/>
        </w:rPr>
        <w:br/>
        <w:t xml:space="preserve">continue the existing gathering / travel / exploration policy</w:t>
      </w:r>
    </w:p>
    <w:p w14:paraId="63A1D6C3" w14:textId="77777777" w:rsidR="00C540EF" w:rsidRDefault="00681278">
      <w:pPr>
        <w:jc w:val="left"/>
        <w:widowControl w:val="1"/>
        <w:spacing w:after="100"/>
      </w:pPr>
      <w:r>
        <w:t xml:space="preserve">The engine mask remains authoritative for prerequisites, labor and affordability. For example, Cooking is unavailable until Fire is discovered. The 6-unit resume and 8-unit start floors are existing policy constants, not new engine rules. With none, both loops select nothing. Once permitted research is exhausted, the existing non-research target selection continues; the resulting travel and resource choices can differ between strategies.</w:t>
      </w:r>
    </w:p>
    <w:p w14:paraId="63A1D6C3" w14:textId="77777777" w:rsidR="00C540EF" w:rsidRDefault="00681278">
      <w:pPr>
        <w:jc w:val="left"/>
        <w:widowControl w:val="1"/>
        <w:spacing w:after="100"/>
        <w:pStyle w:val="Heading3"/>
        <w:keepNext/>
      </w:pPr>
      <w:r>
        <w:t xml:space="preserve">Matched rollouts and pairing</w:t>
      </w:r>
    </w:p>
    <w:p w14:paraId="63A1D6C3" w14:textId="77777777" w:rsidR="00C540EF" w:rsidRDefault="00681278">
      <w:pPr>
        <w:jc w:val="left"/>
        <w:widowControl w:val="1"/>
        <w:spacing w:after="100"/>
      </w:pPr>
      <w:r>
        <w:t xml:space="preserve">Validate strategy names and mutually exclusive modes before creating outputs. Construct the scenario and controllers, then form seeds = range(seed_start, seed_start + episodes). For each controller and seed, run_episode resets the world and policy memory, executes a complete legal episode, and returns metrics plus trace. Annotate its effective strategy and save it. All controllers use the same seed list; no independently sampled reference worlds are substituted.</w:t>
      </w:r>
    </w:p>
    <w:p w14:paraId="63A1D6C3" w14:textId="77777777" w:rsidR="00C540EF" w:rsidRDefault="00681278">
      <w:pPr>
        <w:jc w:val="left"/>
        <w:widowControl w:val="1"/>
        <w:spacing w:after="70" w:before="0"/>
        <w:keepLines/>
      </w:pPr>
      <w:r>
        <w:rPr>
          <w:rFonts w:ascii="Courier New" w:hAnsi="Courier New"/>
          <w:sz w:val="18"/>
        </w:rPr>
        <w:t xml:space="preserve">index[(row.agent, row.seed)] = row</w:t>
      </w:r>
      <w:r>
        <w:rPr>
          <w:rFonts w:ascii="Courier New" w:hAnsi="Courier New"/>
          <w:sz w:val="18"/>
        </w:rPr>
        <w:br/>
        <w:t xml:space="preserve">for candidate in (rules_fire, rules_cooking, rules_all):</w:t>
      </w:r>
      <w:r>
        <w:rPr>
          <w:rFonts w:ascii="Courier New" w:hAnsi="Courier New"/>
          <w:sz w:val="18"/>
        </w:rPr>
        <w:br/>
        <w:t xml:space="preserve">    for seed in sorted(evaluation seeds):</w:t>
      </w:r>
      <w:r>
        <w:rPr>
          <w:rFonts w:ascii="Courier New" w:hAnsi="Courier New"/>
          <w:sz w:val="18"/>
        </w:rPr>
        <w:br/>
        <w:t xml:space="preserve">        run = index[(candidate, seed)]</w:t>
      </w:r>
      <w:r>
        <w:rPr>
          <w:rFonts w:ascii="Courier New" w:hAnsi="Courier New"/>
          <w:sz w:val="18"/>
        </w:rPr>
        <w:br/>
        <w:t xml:space="preserve">        ref = index[(rules_none, seed)]</w:t>
      </w:r>
      <w:r>
        <w:rPr>
          <w:rFonts w:ascii="Courier New" w:hAnsi="Courier New"/>
          <w:sz w:val="18"/>
        </w:rPr>
        <w:br/>
        <w:t xml:space="preserve">        delta_population = run.population_retained - ref.population_retained</w:t>
      </w:r>
      <w:r>
        <w:rPr>
          <w:rFonts w:ascii="Courier New" w:hAnsi="Courier New"/>
          <w:sz w:val="18"/>
        </w:rPr>
        <w:br/>
        <w:t xml:space="preserve">        delta_shortage = run.shortage_total - ref.shortage_total</w:t>
      </w:r>
      <w:r>
        <w:rPr>
          <w:rFonts w:ascii="Courier New" w:hAnsi="Courier New"/>
          <w:sz w:val="18"/>
        </w:rPr>
        <w:br/>
        <w:t xml:space="preserve">        delta_return = run.return - ref.return</w:t>
      </w:r>
      <w:r>
        <w:rPr>
          <w:rFonts w:ascii="Courier New" w:hAnsi="Courier New"/>
          <w:sz w:val="18"/>
        </w:rPr>
        <w:br/>
        <w:t xml:space="preserve">        append Pair(seed, delta_population, delta_shortage, delta_return)</w:t>
      </w:r>
    </w:p>
    <w:p w14:paraId="63A1D6C3" w14:textId="77777777" w:rsidR="00C540EF" w:rsidRDefault="00681278">
      <w:pPr>
        <w:jc w:val="left"/>
        <w:widowControl w:val="1"/>
        <w:spacing w:after="100"/>
        <w:pStyle w:val="Heading3"/>
        <w:keepNext/>
      </w:pPr>
      <w:r>
        <w:t xml:space="preserve">Aggregation and output</w:t>
      </w:r>
    </w:p>
    <w:p w14:paraId="63A1D6C3" w14:textId="77777777" w:rsidR="00C540EF" w:rsidRDefault="00681278">
      <w:pPr>
        <w:jc w:val="left"/>
        <w:widowControl w:val="1"/>
        <w:spacing w:after="100"/>
      </w:pPr>
      <w:r>
        <w:t xml:space="preserve">For each candidate, calculate the arithmetic mean of each delta over its pairs. A win has delta_population &gt; 0, a loss &lt; 0, and a tie == 0 using full-precision stored values, without rounding or an epsilon. Positive population delta favors the candidate; negative shortage delta favors the candidate. Save the pair arrays, means and counts to research_comparison.json and render the report. Source summary variation uses sample SD across worlds (zero for a one-episode evaluation), not a confidence interval.</w:t>
      </w:r>
    </w:p>
    <w:p w14:paraId="63A1D6C3" w14:textId="77777777" w:rsidR="00C540EF" w:rsidRDefault="00681278">
      <w:pPr>
        <w:jc w:val="left"/>
        <w:widowControl w:val="1"/>
        <w:spacing w:after="100"/>
      </w:pPr>
      <w:r>
        <w:t xml:space="preserve">compare_strategies consumes complete evaluator-produced rows. It expects every candidate/reference seed combination; it is not a public importer that repairs missing or duplicate rows. The index is keyed by controller and seed, not file order. Existing evaluator rollouts guarantee those combinations; general malformed-file validation is outside this feature.</w:t>
      </w:r>
    </w:p>
    <w:p w14:paraId="67826E53" w14:textId="77777777" w:rsidR="00C540EF" w:rsidRDefault="00681278">
      <w:pPr>
        <w:pStyle w:val="Heading1"/>
        <w:pageBreakBefore/>
        <w:keepNext/>
      </w:pPr>
      <w:bookmarkStart w:id="11" w:name="h.17dp8vu" w:colFirst="0" w:colLast="0"/>
      <w:bookmarkEnd w:id="11"/>
      <w:r>
        <w:t>Testing</w:t>
      </w:r>
    </w:p>
    <w:p w14:paraId="11CF5400" w14:textId="77777777" w:rsidR="00C540EF" w:rsidRDefault="00681278">
      <w:pPr>
        <w:pStyle w:val="Heading2"/>
        <w:keepNext/>
      </w:pPr>
      <w:bookmarkStart w:id="12" w:name="h.3rdcrjn" w:colFirst="0" w:colLast="0"/>
      <w:bookmarkEnd w:id="12"/>
      <w:r>
        <w:t>General Approach</w:t>
      </w:r>
    </w:p>
    <w:p w14:paraId="59D6426A" w14:textId="77777777" w:rsidR="00C540EF" w:rsidRDefault="007632D0">
      <w:r>
        <w:t xml:space="preserve">TDD sequence: seven feature tests were written and executed before production changes. The initial run failed with one failure and thirteen errors, including subtest errors, because the strategy API and CLI did not exist. Implementation made all seven tests pass. A report-metric assertion then failed before the outcome table was added.</w:t>
      </w:r>
      <w:r w:rsidR="00681278">
        <w:t xml:space="preserve"/>
      </w:r>
      <w:r>
        <w:t/>
      </w:r>
      <w:r w:rsidR="00681278">
        <w:t xml:space="preserve"/>
      </w:r>
      <w:r>
        <w:t/>
      </w:r>
      <w:r w:rsidR="00681278">
        <w:t xml:space="preserve"/>
      </w:r>
      <w:r>
        <w:t/>
      </w:r>
      <w:r w:rsidR="00681278">
        <w:t xml:space="preserve"/>
      </w:r>
    </w:p>
    <w:p w14:paraId="63A1D6C3" w14:textId="77777777" w:rsidR="00C540EF" w:rsidRDefault="00681278">
      <w:pPr>
        <w:widowControl w:val="1"/>
      </w:pPr>
      <w:r>
        <w:t xml:space="preserve">Final command: .venv/bin/python -m unittest discover -s tests -v. Result: 24 tests passed, no skips. Original seed-42 full-trace SHA-256 fingerprints for default and disabled research remain identical. Full logs are retained in results/research_strategies_tdd/.</w:t>
      </w:r>
    </w:p>
    <w:p w14:paraId="63A1D6C3" w14:textId="77777777" w:rsidR="00C540EF" w:rsidRDefault="00681278">
      <w:pPr>
        <w:widowControl w:val="1"/>
      </w:pPr>
      <w:r>
        <w:t xml:space="preserve">System test: the comparison CLI ran stable seeds 0 through 19 for five controllers, producing 100 complete runs. Before execution, the hypothesis and metrics were saved in experiment_plan.json. No simulation constants or reward weights were tuned to the result.</w:t>
      </w:r>
    </w:p>
    <w:p w14:paraId="0BBEC21D" w14:textId="77777777" w:rsidR="00C540EF" w:rsidRDefault="00681278">
      <w:pPr>
        <w:pStyle w:val="Heading2"/>
        <w:keepNext/>
      </w:pPr>
      <w:bookmarkStart w:id="13" w:name="h.26in1rg" w:colFirst="0" w:colLast="0"/>
      <w:bookmarkEnd w:id="13"/>
      <w:r>
        <w:lastRenderedPageBreak/>
        <w:t>Unit Tests</w:t>
      </w:r>
    </w:p>
    <w:p w14:paraId="302991B3" w14:textId="77777777" w:rsidR="00C540EF" w:rsidRDefault="00681278">
      <w:r>
        <w:t xml:space="preserve">The seven cases below are implemented in tests/test_research_strategies.py. Inputs and assertions describe the existing executable tests. R1-R5 refer to the Requirements section; no additional tests or validation runs are claimed by this document revision.</w:t>
      </w:r>
    </w:p>
    <w:p w14:paraId="63A1D6C3" w14:textId="77777777" w:rsidR="00C540EF" w:rsidRDefault="00681278">
      <w:pPr>
        <w:jc w:val="left"/>
        <w:widowControl w:val="1"/>
        <w:spacing w:after="100"/>
        <w:pStyle w:val="Heading2"/>
        <w:keepNext/>
      </w:pPr>
      <w:r>
        <w:t xml:space="preserve">Concrete test definitions</w:t>
      </w:r>
    </w:p>
    <w:p w14:paraId="63A1D6C3" w14:textId="77777777" w:rsidR="00C540EF" w:rsidRDefault="00681278">
      <w:pPr>
        <w:jc w:val="left"/>
        <w:widowControl w:val="1"/>
        <w:spacing w:after="40" w:before="100"/>
        <w:pStyle w:val="Heading3"/>
        <w:keepNext/>
      </w:pPr>
      <w:r>
        <w:t xml:space="preserve">T1 Constructor rejection</w:t>
      </w:r>
    </w:p>
    <w:p w14:paraId="63A1D6C3" w14:textId="77777777" w:rsidR="00C540EF" w:rsidRDefault="00681278">
      <w:pPr>
        <w:jc w:val="left"/>
        <w:widowControl w:val="1"/>
        <w:spacing w:after="40" w:before="0"/>
        <w:keepNext/>
      </w:pPr>
      <w:r>
        <w:t xml:space="preserve">Test method: test_invalid_strategy_and_conflicting_legacy_switch_rejected. Requirements: R1, R3.</w:t>
      </w:r>
    </w:p>
    <w:p w14:paraId="63A1D6C3" w14:textId="77777777" w:rsidR="00C540EF" w:rsidRDefault="00681278">
      <w:pPr>
        <w:jc w:val="left"/>
        <w:widowControl w:val="1"/>
        <w:spacing w:after="40" w:before="0"/>
        <w:keepNext/>
      </w:pPr>
      <w:r>
        <w:t xml:space="preserve">Inputs: Construct RuleAgent with research_strategy="unknown"; separately combine strategy="fire" with research_enabled=False.</w:t>
      </w:r>
    </w:p>
    <w:p w14:paraId="63A1D6C3" w14:textId="77777777" w:rsidR="00C540EF" w:rsidRDefault="00681278">
      <w:pPr>
        <w:jc w:val="left"/>
        <w:widowControl w:val="1"/>
        <w:spacing w:after="40" w:before="0"/>
      </w:pPr>
      <w:r>
        <w:t xml:space="preserve">Expected: Each construction raises ValueError rather than selecting a fallback path.</w:t>
      </w:r>
    </w:p>
    <w:p w14:paraId="63A1D6C3" w14:textId="77777777" w:rsidR="00C540EF" w:rsidRDefault="00681278">
      <w:pPr>
        <w:jc w:val="left"/>
        <w:widowControl w:val="1"/>
        <w:spacing w:after="40" w:before="100"/>
        <w:pStyle w:val="Heading3"/>
        <w:keepNext/>
      </w:pPr>
      <w:r>
        <w:t xml:space="preserve">T2 Default and legacy compatibility</w:t>
      </w:r>
    </w:p>
    <w:p w14:paraId="63A1D6C3" w14:textId="77777777" w:rsidR="00C540EF" w:rsidRDefault="00681278">
      <w:pPr>
        <w:jc w:val="left"/>
        <w:widowControl w:val="1"/>
        <w:spacing w:after="40" w:before="0"/>
        <w:keepNext/>
      </w:pPr>
      <w:r>
        <w:t xml:space="preserve">Test method: test_defaults_and_legacy_switch_preserve_complete_traces. Requirements: R3, R5.</w:t>
      </w:r>
    </w:p>
    <w:p w14:paraId="63A1D6C3" w14:textId="77777777" w:rsidR="00C540EF" w:rsidRDefault="00681278">
      <w:pPr>
        <w:jc w:val="left"/>
        <w:widowControl w:val="1"/>
        <w:spacing w:after="40" w:before="0"/>
        <w:keepNext/>
      </w:pPr>
      <w:r>
        <w:t xml:space="preserve">Inputs: Run stable seed 42 with default, explicit all, legacy disabled and explicit none. Serialize complete runs with sorted JSON keys and hash with SHA-256.</w:t>
      </w:r>
    </w:p>
    <w:p w14:paraId="63A1D6C3" w14:textId="77777777" w:rsidR="00C540EF" w:rsidRDefault="00681278">
      <w:pPr>
        <w:jc w:val="left"/>
        <w:widowControl w:val="1"/>
        <w:spacing w:after="40" w:before="0"/>
      </w:pPr>
      <w:r>
        <w:t xml:space="preserve">Expected: Default equals explicit all; legacy disabled equals none. Enabled/disabled hashes equal the two fingerprints captured before implementation, including actions and per-turn outcomes.</w:t>
      </w:r>
    </w:p>
    <w:p w14:paraId="63A1D6C3" w14:textId="77777777" w:rsidR="00C540EF" w:rsidRDefault="00681278">
      <w:pPr>
        <w:jc w:val="left"/>
        <w:widowControl w:val="1"/>
        <w:spacing w:after="40" w:before="100"/>
        <w:pStyle w:val="Heading3"/>
        <w:keepNext/>
      </w:pPr>
      <w:r>
        <w:t xml:space="preserve">T3 Strategy restrictions and reproducibility</w:t>
      </w:r>
    </w:p>
    <w:p w14:paraId="63A1D6C3" w14:textId="77777777" w:rsidR="00C540EF" w:rsidRDefault="00681278">
      <w:pPr>
        <w:jc w:val="left"/>
        <w:widowControl w:val="1"/>
        <w:spacing w:after="40" w:before="0"/>
        <w:keepNext/>
      </w:pPr>
      <w:r>
        <w:t xml:space="preserve">Test method: test_each_strategy_reproducible_and_restricted_in_both_scenarios. Requirements: R1, R2, R5.</w:t>
      </w:r>
    </w:p>
    <w:p w14:paraId="63A1D6C3" w14:textId="77777777" w:rsidR="00C540EF" w:rsidRDefault="00681278">
      <w:pPr>
        <w:jc w:val="left"/>
        <w:widowControl w:val="1"/>
        <w:spacing w:after="40" w:before="0"/>
        <w:keepNext/>
      </w:pPr>
      <w:r>
        <w:t xml:space="preserve">Inputs: For stable and scarcity seed 42, execute each of the four paths twice. Inspect every experiment action and discovered technology.</w:t>
      </w:r>
    </w:p>
    <w:p w14:paraId="63A1D6C3" w14:textId="77777777" w:rsidR="00C540EF" w:rsidRDefault="00681278">
      <w:pPr>
        <w:jc w:val="left"/>
        <w:widowControl w:val="1"/>
        <w:spacing w:after="40" w:before="0"/>
      </w:pPr>
      <w:r>
        <w:t xml:space="preserve">Expected: Repeated full runs match. Action/discovery sets are subsets of the configured path. Stable seed 42 experiments cover none={}, fire={Fire}, cooking={Fire,Cooking}, all={Fire,Cooking,Basic Tools}. This is a fixed-seed regression, not a promise that every run reaches those nodes.</w:t>
      </w:r>
    </w:p>
    <w:p w14:paraId="63A1D6C3" w14:textId="77777777" w:rsidR="00C540EF" w:rsidRDefault="00681278">
      <w:pPr>
        <w:jc w:val="left"/>
        <w:widowControl w:val="1"/>
        <w:spacing w:after="40" w:before="100"/>
        <w:pStyle w:val="Heading3"/>
        <w:keepNext/>
      </w:pPr>
      <w:r>
        <w:t xml:space="preserve">T4 Prerequisites and excluded partial research</w:t>
      </w:r>
    </w:p>
    <w:p w14:paraId="63A1D6C3" w14:textId="77777777" w:rsidR="00C540EF" w:rsidRDefault="00681278">
      <w:pPr>
        <w:jc w:val="left"/>
        <w:widowControl w:val="1"/>
        <w:spacing w:after="40" w:before="0"/>
        <w:keepNext/>
      </w:pPr>
      <w:r>
        <w:t xml:space="preserve">Test method: test_cooking_requires_fire_and_restricted_progress_is_not_resumed. Requirements: R1, R2.</w:t>
      </w:r>
    </w:p>
    <w:p w14:paraId="63A1D6C3" w14:textId="77777777" w:rsidR="00C540EF" w:rsidRDefault="00681278">
      <w:pPr>
        <w:jc w:val="left"/>
        <w:widowControl w:val="1"/>
        <w:spacing w:after="40" w:before="0"/>
        <w:keepNext/>
      </w:pPr>
      <w:r>
        <w:t xml:space="preserve">Inputs: Start seed 42 with the cooking path. Then construct an observation with Fire completed/active, Basic Tools at 50% progress and 30 units each of food, wood and stone.</w:t>
      </w:r>
    </w:p>
    <w:p w14:paraId="63A1D6C3" w14:textId="77777777" w:rsidR="00C540EF" w:rsidRDefault="00681278">
      <w:pPr>
        <w:jc w:val="left"/>
        <w:widowControl w:val="1"/>
        <w:spacing w:after="40" w:before="0"/>
      </w:pPr>
      <w:r>
        <w:t xml:space="preserve">Expected: Initially Cooking is masked and Fire is chosen. With Fire available, cooking path chooses Cooking rather than resuming excluded Tools. Fire-only selects no experiment once Fire is completed, despite the partially researched Tools node.</w:t>
      </w:r>
    </w:p>
    <w:p w14:paraId="63A1D6C3" w14:textId="77777777" w:rsidR="00C540EF" w:rsidRDefault="00681278">
      <w:pPr>
        <w:jc w:val="left"/>
        <w:widowControl w:val="1"/>
        <w:spacing w:after="40" w:before="100"/>
        <w:pStyle w:val="Heading3"/>
        <w:keepNext/>
      </w:pPr>
      <w:r>
        <w:t xml:space="preserve">T5 Paired exports and report</w:t>
      </w:r>
    </w:p>
    <w:p w14:paraId="63A1D6C3" w14:textId="77777777" w:rsidR="00C540EF" w:rsidRDefault="00681278">
      <w:pPr>
        <w:jc w:val="left"/>
        <w:widowControl w:val="1"/>
        <w:spacing w:after="40" w:before="0"/>
        <w:keepNext/>
      </w:pPr>
      <w:r>
        <w:t xml:space="preserve">Test method: test_comparison_exports_paired_runs_configuration_and_report. Requirements: R4, R5.</w:t>
      </w:r>
    </w:p>
    <w:p w14:paraId="63A1D6C3" w14:textId="77777777" w:rsidR="00C540EF" w:rsidRDefault="00681278">
      <w:pPr>
        <w:jc w:val="left"/>
        <w:widowControl w:val="1"/>
        <w:spacing w:after="40" w:before="0"/>
        <w:keepNext/>
      </w:pPr>
      <w:r>
        <w:t xml:space="preserve">Inputs: Evaluate comparison mode for two stable episodes at seeds 42 and 43 in a temporary directory; independently replay each Rules path/seed.</w:t>
      </w:r>
    </w:p>
    <w:p w14:paraId="63A1D6C3" w14:textId="77777777" w:rsidR="00C540EF" w:rsidRDefault="00681278">
      <w:pPr>
        <w:jc w:val="left"/>
        <w:widowControl w:val="1"/>
        <w:spacing w:after="40" w:before="0"/>
      </w:pPr>
      <w:r>
        <w:t xml:space="preserve">Expected: Five summaries and the exact four-path mapping are written. Run metadata, seeds and trace lengths are correct; run contents match independent episodes. Pair seeds are [42,43], retention mean deltas equal candidate minus reference summary means, and wins+losses+ties=2. CSV/report contain strategy and metric headings.</w:t>
      </w:r>
    </w:p>
    <w:p w14:paraId="63A1D6C3" w14:textId="77777777" w:rsidR="00C540EF" w:rsidRDefault="00681278">
      <w:pPr>
        <w:jc w:val="left"/>
        <w:widowControl w:val="1"/>
        <w:spacing w:after="40" w:before="100"/>
        <w:pStyle w:val="Heading3"/>
        <w:keepNext/>
      </w:pPr>
      <w:r>
        <w:t xml:space="preserve">T6 Invalid evaluation modes</w:t>
      </w:r>
    </w:p>
    <w:p w14:paraId="63A1D6C3" w14:textId="77777777" w:rsidR="00C540EF" w:rsidRDefault="00681278">
      <w:pPr>
        <w:jc w:val="left"/>
        <w:widowControl w:val="1"/>
        <w:spacing w:after="40" w:before="0"/>
        <w:keepNext/>
      </w:pPr>
      <w:r>
        <w:t xml:space="preserve">Test method: test_ambiguous_modes_rejected_before_creating_outputs. Requirements: R3, R5.</w:t>
      </w:r>
    </w:p>
    <w:p w14:paraId="63A1D6C3" w14:textId="77777777" w:rsidR="00C540EF" w:rsidRDefault="00681278">
      <w:pPr>
        <w:jc w:val="left"/>
        <w:widowControl w:val="1"/>
        <w:spacing w:after="40" w:before="0"/>
        <w:keepNext/>
      </w:pPr>
      <w:r>
        <w:t xml:space="preserve">Inputs: Use an absent output path. Try fire+ablation, fire+comparison, ablation+comparison, and an invalid strategy name.</w:t>
      </w:r>
    </w:p>
    <w:p w14:paraId="63A1D6C3" w14:textId="77777777" w:rsidR="00C540EF" w:rsidRDefault="00681278">
      <w:pPr>
        <w:jc w:val="left"/>
        <w:widowControl w:val="1"/>
        <w:spacing w:after="40" w:before="0"/>
      </w:pPr>
      <w:r>
        <w:t xml:space="preserve">Expected: Each call raises ValueError and does not create the output directory.</w:t>
      </w:r>
    </w:p>
    <w:p w14:paraId="63A1D6C3" w14:textId="77777777" w:rsidR="00C540EF" w:rsidRDefault="00681278">
      <w:pPr>
        <w:jc w:val="left"/>
        <w:widowControl w:val="1"/>
        <w:spacing w:after="40" w:before="100"/>
        <w:pStyle w:val="Heading3"/>
        <w:keepNext/>
      </w:pPr>
      <w:r>
        <w:t xml:space="preserve">T7 Command line interface</w:t>
      </w:r>
    </w:p>
    <w:p w14:paraId="63A1D6C3" w14:textId="77777777" w:rsidR="00C540EF" w:rsidRDefault="00681278">
      <w:pPr>
        <w:jc w:val="left"/>
        <w:widowControl w:val="1"/>
        <w:spacing w:after="40" w:before="0"/>
        <w:keepNext/>
      </w:pPr>
      <w:r>
        <w:t xml:space="preserve">Test method: test_cli_selects_one_strategy_and_rejects_unknown_values. Requirements: R1, R3, R4.</w:t>
      </w:r>
    </w:p>
    <w:p w14:paraId="63A1D6C3" w14:textId="77777777" w:rsidR="00C540EF" w:rsidRDefault="00681278">
      <w:pPr>
        <w:jc w:val="left"/>
        <w:widowControl w:val="1"/>
        <w:spacing w:after="40" w:before="0"/>
        <w:keepNext/>
      </w:pPr>
      <w:r>
        <w:t xml:space="preserve">Inputs: Run python -m alive.evaluate with one episode, --research-strategy fire and a temporary output. Then run with strategy bad.</w:t>
      </w:r>
    </w:p>
    <w:p w14:paraId="63A1D6C3" w14:textId="77777777" w:rsidR="00C540EF" w:rsidRDefault="00681278">
      <w:pPr>
        <w:jc w:val="left"/>
        <w:widowControl w:val="1"/>
        <w:spacing w:after="40" w:before="0"/>
      </w:pPr>
      <w:r>
        <w:t xml:space="preserve">Expected: Valid process exits 0 and configuration maps rules to fire. Invalid CLI choice exits 2 through argument validation.</w:t>
      </w:r>
    </w:p>
    <w:p w14:paraId="63A1D6C3" w14:textId="77777777" w:rsidR="00C540EF" w:rsidRDefault="00681278">
      <w:pPr>
        <w:jc w:val="left"/>
        <w:widowControl w:val="1"/>
        <w:spacing w:after="100"/>
        <w:pStyle w:val="Heading3"/>
        <w:keepNext/>
      </w:pPr>
      <w:r>
        <w:t xml:space="preserve">Coverage boundaries</w:t>
      </w:r>
    </w:p>
    <w:p w14:paraId="63A1D6C3" w14:textId="77777777" w:rsidR="00C540EF" w:rsidRDefault="00681278">
      <w:pPr>
        <w:jc w:val="left"/>
        <w:widowControl w:val="1"/>
        <w:spacing w:after="100"/>
      </w:pPr>
      <w:r>
        <w:t xml:space="preserve">The existing suite also checks engine legality, accounting, viewer behavior and optional RL operations. The new cases do not exhaustively test every food-floor boundary or synthesize positive, negative and exactly tied pairs to isolate each counter branch. T5 checks real-run pairing and the counter total; a future focused aggregation test could cover those branch boundaries. No statistical-significance or learning-quality acceptance criterion is asserted.</w:t>
      </w:r>
    </w:p>
    <w:p w14:paraId="45C75E96" w14:textId="77777777" w:rsidR="00C540EF" w:rsidRDefault="00681278">
      <w:pPr>
        <w:pStyle w:val="Heading1"/>
        <w:keepNext/>
        <w:pageBreakBefore/>
      </w:pPr>
      <w:bookmarkStart w:id="14" w:name="h.lnxbz9" w:colFirst="0" w:colLast="0"/>
      <w:bookmarkEnd w:id="14"/>
      <w:r>
        <w:t>Appendix</w:t>
      </w:r>
    </w:p>
    <w:p w14:paraId="63A1D6C3" w14:textId="77777777" w:rsidR="00C540EF" w:rsidRDefault="00681278">
      <w:pPr>
        <w:jc w:val="left"/>
        <w:widowControl w:val="1"/>
        <w:spacing w:after="100"/>
        <w:pStyle w:val="Heading2"/>
        <w:keepNext/>
      </w:pPr>
      <w:r>
        <w:t xml:space="preserve">Experiment and aggregate outcomes</w:t>
      </w:r>
    </w:p>
    <w:p w14:paraId="63A1D6C3" w14:textId="77777777" w:rsidR="00C540EF" w:rsidRDefault="00681278">
      <w:pPr>
        <w:jc w:val="left"/>
        <w:widowControl w:val="1"/>
        <w:spacing w:after="100"/>
      </w:pPr>
      <w:r>
        <w:t xml:space="preserve">Stable scenario; seeds 0-19; 20 episodes per controller; five controllers and 100 runs. Initial population: 40; maximum duration: 256 turns. Random and hand-written Rules use identical starting worlds for each seed. No RL checkpoint was loaded.</w:t>
      </w:r>
    </w:p>
    <w:p w14:paraId="63A1D6C3" w14:textId="77777777" w:rsidR="00C540EF" w:rsidRDefault="00681278">
      <w:pPr>
        <w:jc w:val="left"/>
        <w:widowControl w:val="1"/>
        <w:spacing w:after="100"/>
      </w:pPr>
      <w:r>
        <w:t xml:space="preserve">Table A1 reproduces the report retention bars and all outcome metrics to two decimal places. Retention and SD are percentages of the starting population; SD measures variation across world seeds.</w:t>
      </w:r>
    </w:p>
    <w:tbl>
      <w:tblPr>
        <w:tblW w:w="9360" w:type="dxa"/>
        <w:tblLayout w:type="fixed"/>
        <w:tblBorders>
          <w:top w:val="single" w:sz="6" w:color="D9D9D9"/>
          <w:left w:val="single" w:sz="6" w:color="D9D9D9"/>
          <w:bottom w:val="single" w:sz="6" w:color="D9D9D9"/>
          <w:right w:val="single" w:sz="6" w:color="D9D9D9"/>
          <w:insideH w:val="single" w:sz="6" w:color="D9D9D9"/>
          <w:insideV w:val="single" w:sz="6" w:color="D9D9D9"/>
        </w:tblBorders>
        <w:tblCellMar>
          <w:top w:w="90" w:type="dxa"/>
          <w:bottom w:w="90" w:type="dxa"/>
          <w:left w:w="90" w:type="dxa"/>
          <w:right w:w="90" w:type="dxa"/>
        </w:tblCellMar>
      </w:tblPr>
      <w:tblGrid>
        <w:gridCol w:w="2400"/>
        <w:gridCol w:w="1350"/>
        <w:gridCol w:w="1350"/>
        <w:gridCol w:w="1420"/>
        <w:gridCol w:w="1420"/>
        <w:gridCol w:w="1420"/>
      </w:tblGrid>
      <w:tr>
        <w:trPr>
          <w:cantSplit/>
          <w:tblHeader/>
        </w:trPr>
        <w:tc>
          <w:tcPr>
            <w:tcW w:w="2400" w:type="dxa"/>
            <w:vAlign w:val="center"/>
            <w:shd w:fill="E7E6E6"/>
          </w:tcPr>
          <w:p>
            <w:pPr>
              <w:jc w:val="left"/>
              <w:spacing w:before="0" w:after="0"/>
            </w:pPr>
            <w:r>
              <w:rPr>
                <w:sz w:val="20"/>
                <w:color w:val="000000"/>
                <w:b/>
              </w:rPr>
              <w:t>Controller</w:t>
            </w:r>
          </w:p>
        </w:tc>
        <w:tc>
          <w:tcPr>
            <w:tcW w:w="1350" w:type="dxa"/>
            <w:vAlign w:val="center"/>
            <w:shd w:fill="E7E6E6"/>
          </w:tcPr>
          <w:p>
            <w:pPr>
              <w:jc w:val="center"/>
              <w:spacing w:before="0" w:after="0"/>
            </w:pPr>
            <w:r>
              <w:rPr>
                <w:sz w:val="20"/>
                <w:color w:val="000000"/>
                <w:b/>
              </w:rPr>
              <w:t>Mean</w:t>
            </w:r>
            <w:r>
              <w:rPr>
                <w:sz w:val="20"/>
                <w:color w:val="000000"/>
                <w:b/>
              </w:rPr>
              <w:br/>
              <w:t>retention</w:t>
            </w:r>
          </w:p>
        </w:tc>
        <w:tc>
          <w:tcPr>
            <w:tcW w:w="1350" w:type="dxa"/>
            <w:vAlign w:val="center"/>
            <w:shd w:fill="E7E6E6"/>
          </w:tcPr>
          <w:p>
            <w:pPr>
              <w:jc w:val="center"/>
              <w:spacing w:before="0" w:after="0"/>
            </w:pPr>
            <w:r>
              <w:rPr>
                <w:sz w:val="20"/>
                <w:color w:val="000000"/>
                <w:b/>
              </w:rPr>
              <w:t>Retention</w:t>
            </w:r>
            <w:r>
              <w:rPr>
                <w:sz w:val="20"/>
                <w:color w:val="000000"/>
                <w:b/>
              </w:rPr>
              <w:br/>
              <w:t>SD</w:t>
            </w:r>
          </w:p>
        </w:tc>
        <w:tc>
          <w:tcPr>
            <w:tcW w:w="1420" w:type="dxa"/>
            <w:vAlign w:val="center"/>
            <w:shd w:fill="E7E6E6"/>
          </w:tcPr>
          <w:p>
            <w:pPr>
              <w:jc w:val="center"/>
              <w:spacing w:before="0" w:after="0"/>
            </w:pPr>
            <w:r>
              <w:rPr>
                <w:sz w:val="20"/>
                <w:color w:val="000000"/>
                <w:b/>
              </w:rPr>
              <w:t>Mean</w:t>
            </w:r>
            <w:r>
              <w:rPr>
                <w:sz w:val="20"/>
                <w:color w:val="000000"/>
                <w:b/>
              </w:rPr>
              <w:br/>
              <w:t>shortage</w:t>
            </w:r>
          </w:p>
        </w:tc>
        <w:tc>
          <w:tcPr>
            <w:tcW w:w="1420" w:type="dxa"/>
            <w:vAlign w:val="center"/>
            <w:shd w:fill="E7E6E6"/>
          </w:tcPr>
          <w:p>
            <w:pPr>
              <w:jc w:val="center"/>
              <w:spacing w:before="0" w:after="0"/>
            </w:pPr>
            <w:r>
              <w:rPr>
                <w:sz w:val="20"/>
                <w:color w:val="000000"/>
                <w:b/>
              </w:rPr>
              <w:t>Mean</w:t>
            </w:r>
            <w:r>
              <w:rPr>
                <w:sz w:val="20"/>
                <w:color w:val="000000"/>
                <w:b/>
              </w:rPr>
              <w:br/>
              <w:t>return</w:t>
            </w:r>
          </w:p>
        </w:tc>
        <w:tc>
          <w:tcPr>
            <w:tcW w:w="1420" w:type="dxa"/>
            <w:vAlign w:val="center"/>
            <w:shd w:fill="E7E6E6"/>
          </w:tcPr>
          <w:p>
            <w:pPr>
              <w:jc w:val="center"/>
              <w:spacing w:before="0" w:after="0"/>
            </w:pPr>
            <w:r>
              <w:rPr>
                <w:sz w:val="20"/>
                <w:color w:val="000000"/>
                <w:b/>
              </w:rPr>
              <w:t>Mean</w:t>
            </w:r>
            <w:r>
              <w:rPr>
                <w:sz w:val="20"/>
                <w:color w:val="000000"/>
                <w:b/>
              </w:rPr>
              <w:br/>
              <w:t>discoveries</w:t>
            </w:r>
          </w:p>
        </w:tc>
      </w:tr>
      <w:tr>
        <w:trPr>
          <w:cantSplit/>
        </w:trPr>
        <w:tc>
          <w:tcPr>
            <w:tcW w:w="2400" w:type="dxa"/>
            <w:vAlign w:val="center"/>
          </w:tcPr>
          <w:p>
            <w:pPr>
              <w:jc w:val="left"/>
              <w:spacing w:before="0" w:after="0"/>
            </w:pPr>
            <w:r>
              <w:rPr>
                <w:sz w:val="20"/>
                <w:color w:val="000000"/>
              </w:rPr>
              <w:t>Random</w:t>
            </w:r>
          </w:p>
        </w:tc>
        <w:tc>
          <w:tcPr>
            <w:tcW w:w="1350" w:type="dxa"/>
            <w:vAlign w:val="center"/>
          </w:tcPr>
          <w:p>
            <w:pPr>
              <w:jc w:val="center"/>
              <w:spacing w:before="0" w:after="0"/>
            </w:pPr>
            <w:r>
              <w:rPr>
                <w:sz w:val="20"/>
                <w:color w:val="000000"/>
              </w:rPr>
              <w:t>0.00%</w:t>
            </w:r>
          </w:p>
        </w:tc>
        <w:tc>
          <w:tcPr>
            <w:tcW w:w="1350" w:type="dxa"/>
            <w:vAlign w:val="center"/>
          </w:tcPr>
          <w:p>
            <w:pPr>
              <w:jc w:val="center"/>
              <w:spacing w:before="0" w:after="0"/>
            </w:pPr>
            <w:r>
              <w:rPr>
                <w:sz w:val="20"/>
                <w:color w:val="000000"/>
              </w:rPr>
              <w:t>0.00%</w:t>
            </w:r>
          </w:p>
        </w:tc>
        <w:tc>
          <w:tcPr>
            <w:tcW w:w="1420" w:type="dxa"/>
            <w:vAlign w:val="center"/>
          </w:tcPr>
          <w:p>
            <w:pPr>
              <w:jc w:val="center"/>
              <w:spacing w:before="0" w:after="0"/>
            </w:pPr>
            <w:r>
              <w:rPr>
                <w:sz w:val="20"/>
                <w:color w:val="000000"/>
              </w:rPr>
              <w:t>80.14</w:t>
            </w:r>
          </w:p>
        </w:tc>
        <w:tc>
          <w:tcPr>
            <w:tcW w:w="1420" w:type="dxa"/>
            <w:vAlign w:val="center"/>
          </w:tcPr>
          <w:p>
            <w:pPr>
              <w:jc w:val="center"/>
              <w:spacing w:before="0" w:after="0"/>
            </w:pPr>
            <w:r>
              <w:rPr>
                <w:sz w:val="20"/>
                <w:color w:val="000000"/>
              </w:rPr>
              <w:t>26.10</w:t>
            </w:r>
          </w:p>
        </w:tc>
        <w:tc>
          <w:tcPr>
            <w:tcW w:w="1420" w:type="dxa"/>
            <w:vAlign w:val="center"/>
          </w:tcPr>
          <w:p>
            <w:pPr>
              <w:jc w:val="center"/>
              <w:spacing w:before="0" w:after="0"/>
            </w:pPr>
            <w:r>
              <w:rPr>
                <w:sz w:val="20"/>
                <w:color w:val="000000"/>
              </w:rPr>
              <w:t>0.90</w:t>
            </w:r>
          </w:p>
        </w:tc>
      </w:tr>
      <w:tr>
        <w:trPr>
          <w:cantSplit/>
        </w:trPr>
        <w:tc>
          <w:tcPr>
            <w:tcW w:w="2400" w:type="dxa"/>
            <w:vAlign w:val="center"/>
          </w:tcPr>
          <w:p>
            <w:pPr>
              <w:jc w:val="left"/>
              <w:spacing w:before="0" w:after="0"/>
            </w:pPr>
            <w:r>
              <w:rPr>
                <w:sz w:val="20"/>
                <w:color w:val="000000"/>
              </w:rPr>
              <w:t>No research</w:t>
            </w:r>
          </w:p>
        </w:tc>
        <w:tc>
          <w:tcPr>
            <w:tcW w:w="1350" w:type="dxa"/>
            <w:vAlign w:val="center"/>
          </w:tcPr>
          <w:p>
            <w:pPr>
              <w:jc w:val="center"/>
              <w:spacing w:before="0" w:after="0"/>
            </w:pPr>
            <w:r>
              <w:rPr>
                <w:sz w:val="20"/>
                <w:color w:val="000000"/>
              </w:rPr>
              <w:t>51.08%</w:t>
            </w:r>
          </w:p>
        </w:tc>
        <w:tc>
          <w:tcPr>
            <w:tcW w:w="1350" w:type="dxa"/>
            <w:vAlign w:val="center"/>
          </w:tcPr>
          <w:p>
            <w:pPr>
              <w:jc w:val="center"/>
              <w:spacing w:before="0" w:after="0"/>
            </w:pPr>
            <w:r>
              <w:rPr>
                <w:sz w:val="20"/>
                <w:color w:val="000000"/>
              </w:rPr>
              <w:t>13.80%</w:t>
            </w:r>
          </w:p>
        </w:tc>
        <w:tc>
          <w:tcPr>
            <w:tcW w:w="1420" w:type="dxa"/>
            <w:vAlign w:val="center"/>
          </w:tcPr>
          <w:p>
            <w:pPr>
              <w:jc w:val="center"/>
              <w:spacing w:before="0" w:after="0"/>
            </w:pPr>
            <w:r>
              <w:rPr>
                <w:sz w:val="20"/>
                <w:color w:val="000000"/>
              </w:rPr>
              <w:t>39.13</w:t>
            </w:r>
          </w:p>
        </w:tc>
        <w:tc>
          <w:tcPr>
            <w:tcW w:w="1420" w:type="dxa"/>
            <w:vAlign w:val="center"/>
          </w:tcPr>
          <w:p>
            <w:pPr>
              <w:jc w:val="center"/>
              <w:spacing w:before="0" w:after="0"/>
            </w:pPr>
            <w:r>
              <w:rPr>
                <w:sz w:val="20"/>
                <w:color w:val="000000"/>
              </w:rPr>
              <w:t>195.33</w:t>
            </w:r>
          </w:p>
        </w:tc>
        <w:tc>
          <w:tcPr>
            <w:tcW w:w="1420" w:type="dxa"/>
            <w:vAlign w:val="center"/>
          </w:tcPr>
          <w:p>
            <w:pPr>
              <w:jc w:val="center"/>
              <w:spacing w:before="0" w:after="0"/>
            </w:pPr>
            <w:r>
              <w:rPr>
                <w:sz w:val="20"/>
                <w:color w:val="000000"/>
              </w:rPr>
              <w:t>0.00</w:t>
            </w:r>
          </w:p>
        </w:tc>
      </w:tr>
      <w:tr>
        <w:trPr>
          <w:cantSplit/>
        </w:trPr>
        <w:tc>
          <w:tcPr>
            <w:tcW w:w="2400" w:type="dxa"/>
            <w:vAlign w:val="center"/>
          </w:tcPr>
          <w:p>
            <w:pPr>
              <w:jc w:val="left"/>
              <w:spacing w:before="0" w:after="0"/>
            </w:pPr>
            <w:r>
              <w:rPr>
                <w:sz w:val="20"/>
                <w:color w:val="000000"/>
              </w:rPr>
              <w:t>Fire only</w:t>
            </w:r>
          </w:p>
        </w:tc>
        <w:tc>
          <w:tcPr>
            <w:tcW w:w="1350" w:type="dxa"/>
            <w:vAlign w:val="center"/>
          </w:tcPr>
          <w:p>
            <w:pPr>
              <w:jc w:val="center"/>
              <w:spacing w:before="0" w:after="0"/>
            </w:pPr>
            <w:r>
              <w:rPr>
                <w:sz w:val="20"/>
                <w:color w:val="000000"/>
              </w:rPr>
              <w:t>47.51%</w:t>
            </w:r>
          </w:p>
        </w:tc>
        <w:tc>
          <w:tcPr>
            <w:tcW w:w="1350" w:type="dxa"/>
            <w:vAlign w:val="center"/>
          </w:tcPr>
          <w:p>
            <w:pPr>
              <w:jc w:val="center"/>
              <w:spacing w:before="0" w:after="0"/>
            </w:pPr>
            <w:r>
              <w:rPr>
                <w:sz w:val="20"/>
                <w:color w:val="000000"/>
              </w:rPr>
              <w:t>23.41%</w:t>
            </w:r>
          </w:p>
        </w:tc>
        <w:tc>
          <w:tcPr>
            <w:tcW w:w="1420" w:type="dxa"/>
            <w:vAlign w:val="center"/>
          </w:tcPr>
          <w:p>
            <w:pPr>
              <w:jc w:val="center"/>
              <w:spacing w:before="0" w:after="0"/>
            </w:pPr>
            <w:r>
              <w:rPr>
                <w:sz w:val="20"/>
                <w:color w:val="000000"/>
              </w:rPr>
              <w:t>41.99</w:t>
            </w:r>
          </w:p>
        </w:tc>
        <w:tc>
          <w:tcPr>
            <w:tcW w:w="1420" w:type="dxa"/>
            <w:vAlign w:val="center"/>
          </w:tcPr>
          <w:p>
            <w:pPr>
              <w:jc w:val="center"/>
              <w:spacing w:before="0" w:after="0"/>
            </w:pPr>
            <w:r>
              <w:rPr>
                <w:sz w:val="20"/>
                <w:color w:val="000000"/>
              </w:rPr>
              <w:t>160.84</w:t>
            </w:r>
          </w:p>
        </w:tc>
        <w:tc>
          <w:tcPr>
            <w:tcW w:w="1420" w:type="dxa"/>
            <w:vAlign w:val="center"/>
          </w:tcPr>
          <w:p>
            <w:pPr>
              <w:jc w:val="center"/>
              <w:spacing w:before="0" w:after="0"/>
            </w:pPr>
            <w:r>
              <w:rPr>
                <w:sz w:val="20"/>
                <w:color w:val="000000"/>
              </w:rPr>
              <w:t>1.00</w:t>
            </w:r>
          </w:p>
        </w:tc>
      </w:tr>
      <w:tr>
        <w:trPr>
          <w:cantSplit/>
        </w:trPr>
        <w:tc>
          <w:tcPr>
            <w:tcW w:w="2400" w:type="dxa"/>
            <w:vAlign w:val="center"/>
          </w:tcPr>
          <w:p>
            <w:pPr>
              <w:jc w:val="left"/>
              <w:spacing w:before="0" w:after="0"/>
            </w:pPr>
            <w:r>
              <w:rPr>
                <w:sz w:val="20"/>
                <w:color w:val="000000"/>
              </w:rPr>
              <w:t>Fire then Cooking</w:t>
            </w:r>
          </w:p>
        </w:tc>
        <w:tc>
          <w:tcPr>
            <w:tcW w:w="1350" w:type="dxa"/>
            <w:vAlign w:val="center"/>
          </w:tcPr>
          <w:p>
            <w:pPr>
              <w:jc w:val="center"/>
              <w:spacing w:before="0" w:after="0"/>
            </w:pPr>
            <w:r>
              <w:rPr>
                <w:sz w:val="20"/>
                <w:color w:val="000000"/>
              </w:rPr>
              <w:t>51.90%</w:t>
            </w:r>
          </w:p>
        </w:tc>
        <w:tc>
          <w:tcPr>
            <w:tcW w:w="1350" w:type="dxa"/>
            <w:vAlign w:val="center"/>
          </w:tcPr>
          <w:p>
            <w:pPr>
              <w:jc w:val="center"/>
              <w:spacing w:before="0" w:after="0"/>
            </w:pPr>
            <w:r>
              <w:rPr>
                <w:sz w:val="20"/>
                <w:color w:val="000000"/>
              </w:rPr>
              <w:t>26.54%</w:t>
            </w:r>
          </w:p>
        </w:tc>
        <w:tc>
          <w:tcPr>
            <w:tcW w:w="1420" w:type="dxa"/>
            <w:vAlign w:val="center"/>
          </w:tcPr>
          <w:p>
            <w:pPr>
              <w:jc w:val="center"/>
              <w:spacing w:before="0" w:after="0"/>
            </w:pPr>
            <w:r>
              <w:rPr>
                <w:sz w:val="20"/>
                <w:color w:val="000000"/>
              </w:rPr>
              <w:t>38.48</w:t>
            </w:r>
          </w:p>
        </w:tc>
        <w:tc>
          <w:tcPr>
            <w:tcW w:w="1420" w:type="dxa"/>
            <w:vAlign w:val="center"/>
          </w:tcPr>
          <w:p>
            <w:pPr>
              <w:jc w:val="center"/>
              <w:spacing w:before="0" w:after="0"/>
            </w:pPr>
            <w:r>
              <w:rPr>
                <w:sz w:val="20"/>
                <w:color w:val="000000"/>
              </w:rPr>
              <w:t>166.87</w:t>
            </w:r>
          </w:p>
        </w:tc>
        <w:tc>
          <w:tcPr>
            <w:tcW w:w="1420" w:type="dxa"/>
            <w:vAlign w:val="center"/>
          </w:tcPr>
          <w:p>
            <w:pPr>
              <w:jc w:val="center"/>
              <w:spacing w:before="0" w:after="0"/>
            </w:pPr>
            <w:r>
              <w:rPr>
                <w:sz w:val="20"/>
                <w:color w:val="000000"/>
              </w:rPr>
              <w:t>1.75</w:t>
            </w:r>
          </w:p>
        </w:tc>
      </w:tr>
      <w:tr>
        <w:trPr>
          <w:cantSplit/>
        </w:trPr>
        <w:tc>
          <w:tcPr>
            <w:tcW w:w="2400" w:type="dxa"/>
            <w:vAlign w:val="center"/>
          </w:tcPr>
          <w:p>
            <w:pPr>
              <w:jc w:val="left"/>
              <w:spacing w:before="0" w:after="0"/>
            </w:pPr>
            <w:r>
              <w:rPr>
                <w:sz w:val="20"/>
                <w:color w:val="000000"/>
              </w:rPr>
              <w:t>All research</w:t>
            </w:r>
          </w:p>
        </w:tc>
        <w:tc>
          <w:tcPr>
            <w:tcW w:w="1350" w:type="dxa"/>
            <w:vAlign w:val="center"/>
          </w:tcPr>
          <w:p>
            <w:pPr>
              <w:jc w:val="center"/>
              <w:spacing w:before="0" w:after="0"/>
            </w:pPr>
            <w:r>
              <w:rPr>
                <w:sz w:val="20"/>
                <w:color w:val="000000"/>
              </w:rPr>
              <w:t>50.17%</w:t>
            </w:r>
          </w:p>
        </w:tc>
        <w:tc>
          <w:tcPr>
            <w:tcW w:w="1350" w:type="dxa"/>
            <w:vAlign w:val="center"/>
          </w:tcPr>
          <w:p>
            <w:pPr>
              <w:jc w:val="center"/>
              <w:spacing w:before="0" w:after="0"/>
            </w:pPr>
            <w:r>
              <w:rPr>
                <w:sz w:val="20"/>
                <w:color w:val="000000"/>
              </w:rPr>
              <w:t>24.55%</w:t>
            </w:r>
          </w:p>
        </w:tc>
        <w:tc>
          <w:tcPr>
            <w:tcW w:w="1420" w:type="dxa"/>
            <w:vAlign w:val="center"/>
          </w:tcPr>
          <w:p>
            <w:pPr>
              <w:jc w:val="center"/>
              <w:spacing w:before="0" w:after="0"/>
            </w:pPr>
            <w:r>
              <w:rPr>
                <w:sz w:val="20"/>
                <w:color w:val="000000"/>
              </w:rPr>
              <w:t>39.86</w:t>
            </w:r>
          </w:p>
        </w:tc>
        <w:tc>
          <w:tcPr>
            <w:tcW w:w="1420" w:type="dxa"/>
            <w:vAlign w:val="center"/>
          </w:tcPr>
          <w:p>
            <w:pPr>
              <w:jc w:val="center"/>
              <w:spacing w:before="0" w:after="0"/>
            </w:pPr>
            <w:r>
              <w:rPr>
                <w:sz w:val="20"/>
                <w:color w:val="000000"/>
              </w:rPr>
              <w:t>165.40</w:t>
            </w:r>
          </w:p>
        </w:tc>
        <w:tc>
          <w:tcPr>
            <w:tcW w:w="1420" w:type="dxa"/>
            <w:vAlign w:val="center"/>
          </w:tcPr>
          <w:p>
            <w:pPr>
              <w:jc w:val="center"/>
              <w:spacing w:before="0" w:after="0"/>
            </w:pPr>
            <w:r>
              <w:rPr>
                <w:sz w:val="20"/>
                <w:color w:val="000000"/>
              </w:rPr>
              <w:t>2.15</w:t>
            </w:r>
          </w:p>
        </w:tc>
      </w:tr>
    </w:tbl>
    <w:p w14:paraId="63A1D6C3" w14:textId="77777777" w:rsidR="00C540EF" w:rsidRDefault="00681278">
      <w:pPr>
        <w:jc w:val="left"/>
        <w:widowControl w:val="1"/>
        <w:spacing w:after="100"/>
      </w:pPr>
      <w:r>
        <w:t xml:space="preserve"/>
      </w:r>
    </w:p>
    <w:p w14:paraId="63A1D6C3" w14:textId="77777777" w:rsidR="00C540EF" w:rsidRDefault="00681278">
      <w:pPr>
        <w:jc w:val="left"/>
        <w:widowControl w:val="1"/>
        <w:spacing w:after="100"/>
        <w:pStyle w:val="Heading2"/>
        <w:keepNext/>
      </w:pPr>
      <w:r>
        <w:t xml:space="preserve">Paired differences against no research</w:t>
      </w:r>
    </w:p>
    <w:p w14:paraId="63A1D6C3" w14:textId="77777777" w:rsidR="00C540EF" w:rsidRDefault="00681278">
      <w:pPr>
        <w:jc w:val="left"/>
        <w:widowControl w:val="1"/>
        <w:spacing w:after="100"/>
      </w:pPr>
      <w:r>
        <w:t xml:space="preserve">Table A2 uses 20 matched pairs per row. Delta means candidate minus no research. Positive retention and negative shortage are better. Win/loss/tie counts compare unrounded final retention. pp means percentage points.</w:t>
      </w:r>
    </w:p>
    <w:tbl>
      <w:tblPr>
        <w:tblW w:w="9360" w:type="dxa"/>
        <w:tblLayout w:type="fixed"/>
        <w:tblBorders>
          <w:top w:val="single" w:sz="6" w:color="D9D9D9"/>
          <w:left w:val="single" w:sz="6" w:color="D9D9D9"/>
          <w:bottom w:val="single" w:sz="6" w:color="D9D9D9"/>
          <w:right w:val="single" w:sz="6" w:color="D9D9D9"/>
          <w:insideH w:val="single" w:sz="6" w:color="D9D9D9"/>
          <w:insideV w:val="single" w:sz="6" w:color="D9D9D9"/>
        </w:tblBorders>
        <w:tblCellMar>
          <w:top w:w="90" w:type="dxa"/>
          <w:bottom w:w="90" w:type="dxa"/>
          <w:left w:w="90" w:type="dxa"/>
          <w:right w:w="90" w:type="dxa"/>
        </w:tblCellMar>
      </w:tblPr>
      <w:tblGrid>
        <w:gridCol w:w="2400"/>
        <w:gridCol w:w="1740"/>
        <w:gridCol w:w="1740"/>
        <w:gridCol w:w="1740"/>
        <w:gridCol w:w="1740"/>
      </w:tblGrid>
      <w:tr>
        <w:trPr>
          <w:cantSplit/>
          <w:tblHeader/>
        </w:trPr>
        <w:tc>
          <w:tcPr>
            <w:tcW w:w="2400" w:type="dxa"/>
            <w:vAlign w:val="center"/>
            <w:shd w:fill="E7E6E6"/>
          </w:tcPr>
          <w:p>
            <w:pPr>
              <w:jc w:val="left"/>
              <w:spacing w:before="0" w:after="0"/>
            </w:pPr>
            <w:r>
              <w:rPr>
                <w:sz w:val="20"/>
                <w:color w:val="000000"/>
                <w:b/>
              </w:rPr>
              <w:t>Research path</w:t>
            </w:r>
          </w:p>
        </w:tc>
        <w:tc>
          <w:tcPr>
            <w:tcW w:w="1740" w:type="dxa"/>
            <w:vAlign w:val="center"/>
            <w:shd w:fill="E7E6E6"/>
          </w:tcPr>
          <w:p>
            <w:pPr>
              <w:jc w:val="center"/>
              <w:spacing w:before="0" w:after="0"/>
            </w:pPr>
            <w:r>
              <w:rPr>
                <w:sz w:val="20"/>
                <w:color w:val="000000"/>
                <w:b/>
              </w:rPr>
              <w:t>Retention</w:t>
            </w:r>
            <w:r>
              <w:rPr>
                <w:sz w:val="20"/>
                <w:color w:val="000000"/>
                <w:b/>
              </w:rPr>
              <w:br/>
              <w:t>delta in pp</w:t>
            </w:r>
          </w:p>
        </w:tc>
        <w:tc>
          <w:tcPr>
            <w:tcW w:w="1740" w:type="dxa"/>
            <w:vAlign w:val="center"/>
            <w:shd w:fill="E7E6E6"/>
          </w:tcPr>
          <w:p>
            <w:pPr>
              <w:jc w:val="center"/>
              <w:spacing w:before="0" w:after="0"/>
            </w:pPr>
            <w:r>
              <w:rPr>
                <w:sz w:val="20"/>
                <w:color w:val="000000"/>
                <w:b/>
              </w:rPr>
              <w:t>Shortage</w:t>
            </w:r>
            <w:r>
              <w:rPr>
                <w:sz w:val="20"/>
                <w:color w:val="000000"/>
                <w:b/>
              </w:rPr>
              <w:br/>
              <w:t>delta</w:t>
            </w:r>
          </w:p>
        </w:tc>
        <w:tc>
          <w:tcPr>
            <w:tcW w:w="1740" w:type="dxa"/>
            <w:vAlign w:val="center"/>
            <w:shd w:fill="E7E6E6"/>
          </w:tcPr>
          <w:p>
            <w:pPr>
              <w:jc w:val="center"/>
              <w:spacing w:before="0" w:after="0"/>
            </w:pPr>
            <w:r>
              <w:rPr>
                <w:sz w:val="20"/>
                <w:color w:val="000000"/>
                <w:b/>
              </w:rPr>
              <w:t>Return</w:t>
            </w:r>
            <w:r>
              <w:rPr>
                <w:sz w:val="20"/>
                <w:color w:val="000000"/>
                <w:b/>
              </w:rPr>
              <w:br/>
              <w:t>delta</w:t>
            </w:r>
          </w:p>
        </w:tc>
        <w:tc>
          <w:tcPr>
            <w:tcW w:w="1740" w:type="dxa"/>
            <w:vAlign w:val="center"/>
            <w:shd w:fill="E7E6E6"/>
          </w:tcPr>
          <w:p>
            <w:pPr>
              <w:jc w:val="center"/>
              <w:spacing w:before="0" w:after="0"/>
            </w:pPr>
            <w:r>
              <w:rPr>
                <w:sz w:val="20"/>
                <w:color w:val="000000"/>
                <w:b/>
              </w:rPr>
              <w:t>Wins /</w:t>
            </w:r>
            <w:r>
              <w:rPr>
                <w:sz w:val="20"/>
                <w:color w:val="000000"/>
                <w:b/>
              </w:rPr>
              <w:br/>
              <w:t>losses / ties</w:t>
            </w:r>
          </w:p>
        </w:tc>
      </w:tr>
      <w:tr>
        <w:trPr>
          <w:cantSplit/>
        </w:trPr>
        <w:tc>
          <w:tcPr>
            <w:tcW w:w="2400" w:type="dxa"/>
            <w:vAlign w:val="center"/>
          </w:tcPr>
          <w:p>
            <w:pPr>
              <w:jc w:val="left"/>
              <w:spacing w:before="0" w:after="0"/>
            </w:pPr>
            <w:r>
              <w:rPr>
                <w:sz w:val="20"/>
                <w:color w:val="000000"/>
              </w:rPr>
              <w:t>Fire only</w:t>
            </w:r>
          </w:p>
        </w:tc>
        <w:tc>
          <w:tcPr>
            <w:tcW w:w="1740" w:type="dxa"/>
            <w:vAlign w:val="center"/>
          </w:tcPr>
          <w:p>
            <w:pPr>
              <w:jc w:val="center"/>
              <w:spacing w:before="0" w:after="0"/>
            </w:pPr>
            <w:r>
              <w:rPr>
                <w:sz w:val="20"/>
                <w:color w:val="000000"/>
              </w:rPr>
              <w:t>-3.57</w:t>
            </w:r>
          </w:p>
        </w:tc>
        <w:tc>
          <w:tcPr>
            <w:tcW w:w="1740" w:type="dxa"/>
            <w:vAlign w:val="center"/>
          </w:tcPr>
          <w:p>
            <w:pPr>
              <w:jc w:val="center"/>
              <w:spacing w:before="0" w:after="0"/>
            </w:pPr>
            <w:r>
              <w:rPr>
                <w:sz w:val="20"/>
                <w:color w:val="000000"/>
              </w:rPr>
              <w:t>+2.86</w:t>
            </w:r>
          </w:p>
        </w:tc>
        <w:tc>
          <w:tcPr>
            <w:tcW w:w="1740" w:type="dxa"/>
            <w:vAlign w:val="center"/>
          </w:tcPr>
          <w:p>
            <w:pPr>
              <w:jc w:val="center"/>
              <w:spacing w:before="0" w:after="0"/>
            </w:pPr>
            <w:r>
              <w:rPr>
                <w:sz w:val="20"/>
                <w:color w:val="000000"/>
              </w:rPr>
              <w:t>-34.49</w:t>
            </w:r>
          </w:p>
        </w:tc>
        <w:tc>
          <w:tcPr>
            <w:tcW w:w="1740" w:type="dxa"/>
            <w:vAlign w:val="center"/>
          </w:tcPr>
          <w:p>
            <w:pPr>
              <w:jc w:val="center"/>
              <w:spacing w:before="0" w:after="0"/>
            </w:pPr>
            <w:r>
              <w:rPr>
                <w:sz w:val="20"/>
                <w:color w:val="000000"/>
              </w:rPr>
              <w:t>10 / 10 / 0</w:t>
            </w:r>
          </w:p>
        </w:tc>
      </w:tr>
      <w:tr>
        <w:trPr>
          <w:cantSplit/>
        </w:trPr>
        <w:tc>
          <w:tcPr>
            <w:tcW w:w="2400" w:type="dxa"/>
            <w:vAlign w:val="center"/>
          </w:tcPr>
          <w:p>
            <w:pPr>
              <w:jc w:val="left"/>
              <w:spacing w:before="0" w:after="0"/>
            </w:pPr>
            <w:r>
              <w:rPr>
                <w:sz w:val="20"/>
                <w:color w:val="000000"/>
              </w:rPr>
              <w:t>Fire then Cooking</w:t>
            </w:r>
          </w:p>
        </w:tc>
        <w:tc>
          <w:tcPr>
            <w:tcW w:w="1740" w:type="dxa"/>
            <w:vAlign w:val="center"/>
          </w:tcPr>
          <w:p>
            <w:pPr>
              <w:jc w:val="center"/>
              <w:spacing w:before="0" w:after="0"/>
            </w:pPr>
            <w:r>
              <w:rPr>
                <w:sz w:val="20"/>
                <w:color w:val="000000"/>
              </w:rPr>
              <w:t>+0.82</w:t>
            </w:r>
          </w:p>
        </w:tc>
        <w:tc>
          <w:tcPr>
            <w:tcW w:w="1740" w:type="dxa"/>
            <w:vAlign w:val="center"/>
          </w:tcPr>
          <w:p>
            <w:pPr>
              <w:jc w:val="center"/>
              <w:spacing w:before="0" w:after="0"/>
            </w:pPr>
            <w:r>
              <w:rPr>
                <w:sz w:val="20"/>
                <w:color w:val="000000"/>
              </w:rPr>
              <w:t>-0.65</w:t>
            </w:r>
          </w:p>
        </w:tc>
        <w:tc>
          <w:tcPr>
            <w:tcW w:w="1740" w:type="dxa"/>
            <w:vAlign w:val="center"/>
          </w:tcPr>
          <w:p>
            <w:pPr>
              <w:jc w:val="center"/>
              <w:spacing w:before="0" w:after="0"/>
            </w:pPr>
            <w:r>
              <w:rPr>
                <w:sz w:val="20"/>
                <w:color w:val="000000"/>
              </w:rPr>
              <w:t>-28.46</w:t>
            </w:r>
          </w:p>
        </w:tc>
        <w:tc>
          <w:tcPr>
            <w:tcW w:w="1740" w:type="dxa"/>
            <w:vAlign w:val="center"/>
          </w:tcPr>
          <w:p>
            <w:pPr>
              <w:jc w:val="center"/>
              <w:spacing w:before="0" w:after="0"/>
            </w:pPr>
            <w:r>
              <w:rPr>
                <w:sz w:val="20"/>
                <w:color w:val="000000"/>
              </w:rPr>
              <w:t>11 / 9 / 0</w:t>
            </w:r>
          </w:p>
        </w:tc>
      </w:tr>
      <w:tr>
        <w:trPr>
          <w:cantSplit/>
        </w:trPr>
        <w:tc>
          <w:tcPr>
            <w:tcW w:w="2400" w:type="dxa"/>
            <w:vAlign w:val="center"/>
          </w:tcPr>
          <w:p>
            <w:pPr>
              <w:jc w:val="left"/>
              <w:spacing w:before="0" w:after="0"/>
            </w:pPr>
            <w:r>
              <w:rPr>
                <w:sz w:val="20"/>
                <w:color w:val="000000"/>
              </w:rPr>
              <w:t>All research</w:t>
            </w:r>
          </w:p>
        </w:tc>
        <w:tc>
          <w:tcPr>
            <w:tcW w:w="1740" w:type="dxa"/>
            <w:vAlign w:val="center"/>
          </w:tcPr>
          <w:p>
            <w:pPr>
              <w:jc w:val="center"/>
              <w:spacing w:before="0" w:after="0"/>
            </w:pPr>
            <w:r>
              <w:rPr>
                <w:sz w:val="20"/>
                <w:color w:val="000000"/>
              </w:rPr>
              <w:t>-0.91</w:t>
            </w:r>
          </w:p>
        </w:tc>
        <w:tc>
          <w:tcPr>
            <w:tcW w:w="1740" w:type="dxa"/>
            <w:vAlign w:val="center"/>
          </w:tcPr>
          <w:p>
            <w:pPr>
              <w:jc w:val="center"/>
              <w:spacing w:before="0" w:after="0"/>
            </w:pPr>
            <w:r>
              <w:rPr>
                <w:sz w:val="20"/>
                <w:color w:val="000000"/>
              </w:rPr>
              <w:t>+0.73</w:t>
            </w:r>
          </w:p>
        </w:tc>
        <w:tc>
          <w:tcPr>
            <w:tcW w:w="1740" w:type="dxa"/>
            <w:vAlign w:val="center"/>
          </w:tcPr>
          <w:p>
            <w:pPr>
              <w:jc w:val="center"/>
              <w:spacing w:before="0" w:after="0"/>
            </w:pPr>
            <w:r>
              <w:rPr>
                <w:sz w:val="20"/>
                <w:color w:val="000000"/>
              </w:rPr>
              <w:t>-29.93</w:t>
            </w:r>
          </w:p>
        </w:tc>
        <w:tc>
          <w:tcPr>
            <w:tcW w:w="1740" w:type="dxa"/>
            <w:vAlign w:val="center"/>
          </w:tcPr>
          <w:p>
            <w:pPr>
              <w:jc w:val="center"/>
              <w:spacing w:before="0" w:after="0"/>
            </w:pPr>
            <w:r>
              <w:rPr>
                <w:sz w:val="20"/>
                <w:color w:val="000000"/>
              </w:rPr>
              <w:t>11 / 9 / 0</w:t>
            </w:r>
          </w:p>
        </w:tc>
      </w:tr>
    </w:tbl>
    <w:p w14:paraId="63A1D6C3" w14:textId="77777777" w:rsidR="00C540EF" w:rsidRDefault="00681278">
      <w:pPr>
        <w:jc w:val="left"/>
        <w:widowControl w:val="1"/>
        <w:spacing w:after="100"/>
      </w:pPr>
      <w:r>
        <w:t xml:space="preserve"/>
      </w:r>
    </w:p>
    <w:p w14:paraId="63A1D6C3" w14:textId="77777777" w:rsidR="00C540EF" w:rsidRDefault="00681278">
      <w:pPr>
        <w:jc w:val="left"/>
        <w:widowControl w:val="1"/>
        <w:spacing w:after="100"/>
        <w:pStyle w:val="Heading2"/>
        <w:keepNext/>
      </w:pPr>
      <w:r>
        <w:t xml:space="preserve">Interpretation</w:t>
      </w:r>
    </w:p>
    <w:p w14:paraId="63A1D6C3" w14:textId="77777777" w:rsidR="00C540EF" w:rsidRDefault="00681278">
      <w:pPr>
        <w:jc w:val="left"/>
        <w:widowControl w:val="1"/>
        <w:spacing w:after="100"/>
      </w:pPr>
      <w:r>
        <w:t xml:space="preserve">Cooking leads mean retention by 0.82 percentage points versus no research and 1.73 versus all research. It wins 11/20 pairs, but has greater variability and lower mean return than no research. This small sample advantage does not establish superiority.</w:t>
      </w:r>
    </w:p>
    <w:p w14:paraId="63A1D6C3" w14:textId="77777777" w:rsidR="00C540EF" w:rsidRDefault="00681278">
      <w:pPr>
        <w:jc w:val="left"/>
        <w:widowControl w:val="1"/>
        <w:spacing w:after="100"/>
      </w:pPr>
      <w:r>
        <w:t xml:space="preserve">Fire-only underperforms no research on average. All research wins 11 pairs yet has a negative mean difference; win counts alone can mislead. Random retains no population despite completing some discoveries. More discoveries do not guarantee survival.</w:t>
      </w:r>
    </w:p>
    <w:p w14:paraId="63A1D6C3" w14:textId="77777777" w:rsidR="00C540EF" w:rsidRDefault="00681278">
      <w:pPr>
        <w:jc w:val="left"/>
        <w:widowControl w:val="1"/>
        <w:spacing w:after="100"/>
        <w:pStyle w:val="Heading2"/>
        <w:keepNext/>
        <w:pageBreakBefore/>
      </w:pPr>
      <w:r>
        <w:t xml:space="preserve">Reproduction and evidence</w:t>
      </w:r>
    </w:p>
    <w:p w14:paraId="63A1D6C3" w14:textId="77777777" w:rsidR="00C540EF" w:rsidRDefault="00681278">
      <w:pPr>
        <w:jc w:val="left"/>
        <w:widowControl w:val="1"/>
        <w:spacing w:after="100"/>
      </w:pPr>
      <w:r>
        <w:t xml:space="preserve">From the repository root, activate the existing environment and run:</w:t>
      </w:r>
    </w:p>
    <w:p w14:paraId="63A1D6C3" w14:textId="77777777" w:rsidR="00C540EF" w:rsidRDefault="00681278">
      <w:pPr>
        <w:jc w:val="left"/>
        <w:widowControl w:val="1"/>
        <w:spacing w:after="100"/>
      </w:pPr>
      <w:r>
        <w:t xml:space="preserve">source .venv/bin/activate</w:t>
      </w:r>
    </w:p>
    <w:p w14:paraId="63A1D6C3" w14:textId="77777777" w:rsidR="00C540EF" w:rsidRDefault="00681278">
      <w:pPr>
        <w:jc w:val="left"/>
        <w:widowControl w:val="1"/>
        <w:spacing w:after="100"/>
      </w:pPr>
      <w:r>
        <w:t xml:space="preserve">python -m alive.evaluate --compare-research-strategies --episodes 20 --seed-start 0 --output results/research_strategies</w:t>
      </w:r>
    </w:p>
    <w:p w14:paraId="63A1D6C3" w14:textId="77777777" w:rsidR="00C540EF" w:rsidRDefault="00681278">
      <w:pPr>
        <w:jc w:val="left"/>
        <w:widowControl w:val="1"/>
        <w:spacing w:after="100"/>
      </w:pPr>
      <w:r>
        <w:t xml:space="preserve">Use a fresh output directory for a new experiment. Saved settings: compare_research_strategies=true, technology_ablation=false, checkpoint=null. This command explicitly selects seeds 0-19 rather than the default 10000 onward.</w:t>
      </w:r>
    </w:p>
    <w:p w14:paraId="63A1D6C3" w14:textId="77777777" w:rsidR="00C540EF" w:rsidRDefault="00681278">
      <w:pPr>
        <w:jc w:val="left"/>
        <w:widowControl w:val="1"/>
        <w:spacing w:after="100"/>
      </w:pPr>
      <w:r>
        <w:t xml:space="preserve">Controller mapping: rules_none = no research; rules_fire = Fire; rules_cooking = Fire then Cooking; rules_all = the existing four-node research order. Discovery still requires legal actions, resources and labor. Random has no research-strategy setting.</w:t>
      </w:r>
    </w:p>
    <w:p w14:paraId="63A1D6C3" w14:textId="77777777" w:rsidR="00C540EF" w:rsidRDefault="00681278">
      <w:pPr>
        <w:jc w:val="left"/>
        <w:widowControl w:val="1"/>
        <w:spacing w:after="100"/>
        <w:pStyle w:val="Heading2"/>
        <w:keepNext/>
      </w:pPr>
      <w:r>
        <w:t xml:space="preserve">Metric definitions</w:t>
      </w:r>
    </w:p>
    <w:p w14:paraId="63A1D6C3" w14:textId="77777777" w:rsidR="00C540EF" w:rsidRDefault="00681278">
      <w:pPr>
        <w:jc w:val="left"/>
        <w:widowControl w:val="1"/>
        <w:spacing w:after="100"/>
      </w:pPr>
      <w:r>
        <w:t xml:space="preserve">Retention is final population divided by 40. SD is the sample standard deviation across 20 worlds, not a confidence interval. Shortage totals unmet food demand in food units, not shortage turns. Return sums existing per-turn rewards. Discoveries counts completed technology nodes; it does not measure active upkeep or usefulness.</w:t>
      </w:r>
    </w:p>
    <w:p w14:paraId="63A1D6C3" w14:textId="77777777" w:rsidR="00C540EF" w:rsidRDefault="00681278">
      <w:pPr>
        <w:jc w:val="left"/>
        <w:widowControl w:val="1"/>
        <w:spacing w:after="100"/>
        <w:pStyle w:val="Heading2"/>
        <w:keepNext/>
      </w:pPr>
      <w:r>
        <w:t xml:space="preserve">Evidence and report access</w:t>
      </w:r>
    </w:p>
    <w:p w14:paraId="63A1D6C3" w14:textId="77777777" w:rsidR="00C540EF" w:rsidRDefault="00681278">
      <w:pPr>
        <w:jc w:val="left"/>
        <w:widowControl w:val="1"/>
        <w:spacing w:after="100"/>
      </w:pPr>
      <w:r>
        <w:t xml:space="preserve">The relative paths below are from the project root. Keep the results directory alongside docs when sharing the document. The contribution ZIP preserves this structure.</w:t>
      </w:r>
    </w:p>
    <w:p w14:paraId="63A1D6C3" w14:textId="77777777" w:rsidR="00C540EF" w:rsidRDefault="00681278">
      <w:pPr>
        <w:jc w:val="left"/>
        <w:widowControl w:val="1"/>
        <w:spacing w:after="100"/>
      </w:pPr>
      <w:r>
        <w:t xml:space="preserve">results/research_strategies/report.html is the readable report. summary.json stores full-precision aggregates; episodes.csv stores per-episode records. research_comparison.json contains all 60 matched deltas. configuration.json records seeds, controllers and paths.</w:t>
      </w:r>
    </w:p>
    <w:p w14:paraId="63A1D6C3" w14:textId="77777777" w:rsidR="00C540EF" w:rsidRDefault="00681278">
      <w:pPr>
        <w:jc w:val="left"/>
        <w:widowControl w:val="1"/>
        <w:spacing w:after="100"/>
      </w:pPr>
      <w:r>
        <w:t xml:space="preserve">The runs/ directory contains 100 complete traces. replay_&lt;controller&gt;.json always uses seed 0, the first evaluation seed. docs/handbook/evidence/2026-10-28-research-strategies.json preserves the experiment plan, aggregates, verification and feature-source SHA-256 fingerprints. results/research_strategies_tdd/ holds the failing/passing test logs and predeclared plan.</w:t>
      </w:r>
    </w:p>
    <w:p w14:paraId="63A1D6C3" w14:textId="77777777" w:rsidR="00C540EF" w:rsidRDefault="00681278">
      <w:pPr>
        <w:jc w:val="left"/>
        <w:widowControl w:val="1"/>
        <w:spacing w:after="100"/>
      </w:pPr>
      <w:r>
        <w:t xml:space="preserve"/>
      </w:r>
      <w:r>
        <w:t>Open the accompanying report: </w:t>
      </w:r>
      <w:hyperlink r:id="rIdResearchReport">
        <w:r>
          <w:rPr>
            <w:color w:val="1155CC"/>
            <w:u w:val="single"/>
          </w:rPr>
          <w:t>Research strategy comparison report</w:t>
        </w:r>
      </w:hyperlink>
    </w:p>
    <w:p w14:paraId="63A1D6C3" w14:textId="77777777" w:rsidR="00C540EF" w:rsidRDefault="00681278">
      <w:pPr>
        <w:jc w:val="left"/>
        <w:widowControl w:val="1"/>
        <w:spacing w:after="100"/>
        <w:pStyle w:val="Heading2"/>
        <w:keepNext/>
      </w:pPr>
      <w:r>
        <w:t xml:space="preserve">Validation and limits</w:t>
      </w:r>
    </w:p>
    <w:p w14:paraId="63A1D6C3" w14:textId="77777777" w:rsidR="00C540EF" w:rsidRDefault="00681278">
      <w:pPr>
        <w:jc w:val="left"/>
        <w:widowControl w:val="1"/>
        <w:spacing w:after="100"/>
      </w:pPr>
      <w:r>
        <w:t xml:space="preserve">All 24 tests passed with no skips, including seven tests written before implementation. Default and legacy no-research seed-42 traces retain their original fingerprints. Engine mechanics, rewards, observations and the technology graph were unchanged.</w:t>
      </w:r>
    </w:p>
    <w:p w14:paraId="63A1D6C3" w14:textId="77777777" w:rsidR="00C540EF" w:rsidRDefault="00681278">
      <w:pPr>
        <w:jc w:val="left"/>
        <w:widowControl w:val="1"/>
        <w:spacing w:after="100"/>
      </w:pPr>
      <w:r>
        <w:t xml:space="preserve">These compare complete strategies, including changed gathering and travel, rather than isolated technology effects or RL learning. The hypothesis is only partially supported: Cooking has a small positive mean difference; Fire-only does not. No independent holdout confirmation or statistical significance is established. Confirm on disjoint seeds and additional scenarios before declaring a preferred strategy.</w:t>
      </w:r>
    </w:p>
    <w:sectPr w:rsidR="00C540E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AB31F5" w14:textId="77777777" w:rsidR="00D315EE" w:rsidRDefault="00D315EE" w:rsidP="00F639BC">
      <w:r>
        <w:separator/>
      </w:r>
    </w:p>
  </w:endnote>
  <w:endnote w:type="continuationSeparator" w:id="0">
    <w:p w14:paraId="7D7B60C4" w14:textId="77777777" w:rsidR="00D315EE" w:rsidRDefault="00D315EE" w:rsidP="00F63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21CDB" w14:textId="77777777" w:rsidR="00F639BC" w:rsidRDefault="00F639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67F241" w14:textId="77777777" w:rsidR="00F639BC" w:rsidRDefault="00F639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18F638" w14:textId="77777777" w:rsidR="00F639BC" w:rsidRDefault="00F639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6541AD" w14:textId="77777777" w:rsidR="00D315EE" w:rsidRDefault="00D315EE" w:rsidP="00F639BC">
      <w:r>
        <w:separator/>
      </w:r>
    </w:p>
  </w:footnote>
  <w:footnote w:type="continuationSeparator" w:id="0">
    <w:p w14:paraId="2A1A6F44" w14:textId="77777777" w:rsidR="00D315EE" w:rsidRDefault="00D315EE" w:rsidP="00F639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27C847" w14:textId="77777777" w:rsidR="00F639BC" w:rsidRDefault="00F639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4A7C14" w14:textId="77777777" w:rsidR="00F639BC" w:rsidRDefault="00F639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581B2" w14:textId="77777777" w:rsidR="00F639BC" w:rsidRDefault="00F639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9535D7"/>
    <w:multiLevelType w:val="multilevel"/>
    <w:tmpl w:val="7CA2ED38"/>
    <w:lvl w:ilvl="0">
      <w:start w:val="1"/>
      <w:numFmt w:val="bullet"/>
      <w:lvlText w:val="●"/>
      <w:lvlJc w:val="left"/>
      <w:pPr>
        <w:ind w:left="720" w:firstLine="1080"/>
      </w:pPr>
      <w:rPr>
        <w:rFonts w:ascii="Arial" w:eastAsia="Arial" w:hAnsi="Arial" w:cs="Arial"/>
        <w:b w:val="0"/>
        <w:i w:val="0"/>
        <w:smallCaps w:val="0"/>
        <w:strike w:val="0"/>
        <w:color w:val="000000"/>
        <w:sz w:val="22"/>
        <w:szCs w:val="22"/>
        <w:u w:val="none"/>
        <w:vertAlign w:val="baseline"/>
      </w:rPr>
    </w:lvl>
    <w:lvl w:ilvl="1">
      <w:start w:val="1"/>
      <w:numFmt w:val="bullet"/>
      <w:lvlText w:val="○"/>
      <w:lvlJc w:val="left"/>
      <w:pPr>
        <w:ind w:left="1440" w:firstLine="2520"/>
      </w:pPr>
      <w:rPr>
        <w:rFonts w:ascii="Arial" w:eastAsia="Arial" w:hAnsi="Arial" w:cs="Arial"/>
        <w:b w:val="0"/>
        <w:i w:val="0"/>
        <w:smallCaps w:val="0"/>
        <w:strike w:val="0"/>
        <w:color w:val="000000"/>
        <w:sz w:val="22"/>
        <w:szCs w:val="22"/>
        <w:u w:val="none"/>
        <w:vertAlign w:val="baseline"/>
      </w:rPr>
    </w:lvl>
    <w:lvl w:ilvl="2">
      <w:start w:val="1"/>
      <w:numFmt w:val="bullet"/>
      <w:lvlText w:val="■"/>
      <w:lvlJc w:val="left"/>
      <w:pPr>
        <w:ind w:left="2160" w:firstLine="3960"/>
      </w:pPr>
      <w:rPr>
        <w:rFonts w:ascii="Arial" w:eastAsia="Arial" w:hAnsi="Arial" w:cs="Arial"/>
        <w:b w:val="0"/>
        <w:i w:val="0"/>
        <w:smallCaps w:val="0"/>
        <w:strike w:val="0"/>
        <w:color w:val="000000"/>
        <w:sz w:val="22"/>
        <w:szCs w:val="22"/>
        <w:u w:val="none"/>
        <w:vertAlign w:val="baseline"/>
      </w:rPr>
    </w:lvl>
    <w:lvl w:ilvl="3">
      <w:start w:val="1"/>
      <w:numFmt w:val="bullet"/>
      <w:lvlText w:val="●"/>
      <w:lvlJc w:val="left"/>
      <w:pPr>
        <w:ind w:left="2880" w:firstLine="5400"/>
      </w:pPr>
      <w:rPr>
        <w:rFonts w:ascii="Arial" w:eastAsia="Arial" w:hAnsi="Arial" w:cs="Arial"/>
        <w:b w:val="0"/>
        <w:i w:val="0"/>
        <w:smallCaps w:val="0"/>
        <w:strike w:val="0"/>
        <w:color w:val="000000"/>
        <w:sz w:val="22"/>
        <w:szCs w:val="22"/>
        <w:u w:val="none"/>
        <w:vertAlign w:val="baseline"/>
      </w:rPr>
    </w:lvl>
    <w:lvl w:ilvl="4">
      <w:start w:val="1"/>
      <w:numFmt w:val="bullet"/>
      <w:lvlText w:val="○"/>
      <w:lvlJc w:val="left"/>
      <w:pPr>
        <w:ind w:left="3600" w:firstLine="6840"/>
      </w:pPr>
      <w:rPr>
        <w:rFonts w:ascii="Arial" w:eastAsia="Arial" w:hAnsi="Arial" w:cs="Arial"/>
        <w:b w:val="0"/>
        <w:i w:val="0"/>
        <w:smallCaps w:val="0"/>
        <w:strike w:val="0"/>
        <w:color w:val="000000"/>
        <w:sz w:val="22"/>
        <w:szCs w:val="22"/>
        <w:u w:val="none"/>
        <w:vertAlign w:val="baseline"/>
      </w:rPr>
    </w:lvl>
    <w:lvl w:ilvl="5">
      <w:start w:val="1"/>
      <w:numFmt w:val="bullet"/>
      <w:lvlText w:val="■"/>
      <w:lvlJc w:val="left"/>
      <w:pPr>
        <w:ind w:left="4320" w:firstLine="8280"/>
      </w:pPr>
      <w:rPr>
        <w:rFonts w:ascii="Arial" w:eastAsia="Arial" w:hAnsi="Arial" w:cs="Arial"/>
        <w:b w:val="0"/>
        <w:i w:val="0"/>
        <w:smallCaps w:val="0"/>
        <w:strike w:val="0"/>
        <w:color w:val="000000"/>
        <w:sz w:val="22"/>
        <w:szCs w:val="22"/>
        <w:u w:val="none"/>
        <w:vertAlign w:val="baseline"/>
      </w:rPr>
    </w:lvl>
    <w:lvl w:ilvl="6">
      <w:start w:val="1"/>
      <w:numFmt w:val="bullet"/>
      <w:lvlText w:val="●"/>
      <w:lvlJc w:val="left"/>
      <w:pPr>
        <w:ind w:left="5040" w:firstLine="9720"/>
      </w:pPr>
      <w:rPr>
        <w:rFonts w:ascii="Arial" w:eastAsia="Arial" w:hAnsi="Arial" w:cs="Arial"/>
        <w:b w:val="0"/>
        <w:i w:val="0"/>
        <w:smallCaps w:val="0"/>
        <w:strike w:val="0"/>
        <w:color w:val="000000"/>
        <w:sz w:val="22"/>
        <w:szCs w:val="22"/>
        <w:u w:val="none"/>
        <w:vertAlign w:val="baseline"/>
      </w:rPr>
    </w:lvl>
    <w:lvl w:ilvl="7">
      <w:start w:val="1"/>
      <w:numFmt w:val="bullet"/>
      <w:lvlText w:val="○"/>
      <w:lvlJc w:val="left"/>
      <w:pPr>
        <w:ind w:left="5760" w:firstLine="11160"/>
      </w:pPr>
      <w:rPr>
        <w:rFonts w:ascii="Arial" w:eastAsia="Arial" w:hAnsi="Arial" w:cs="Arial"/>
        <w:b w:val="0"/>
        <w:i w:val="0"/>
        <w:smallCaps w:val="0"/>
        <w:strike w:val="0"/>
        <w:color w:val="000000"/>
        <w:sz w:val="22"/>
        <w:szCs w:val="22"/>
        <w:u w:val="none"/>
        <w:vertAlign w:val="baseline"/>
      </w:rPr>
    </w:lvl>
    <w:lvl w:ilvl="8">
      <w:start w:val="1"/>
      <w:numFmt w:val="bullet"/>
      <w:lvlText w:val="■"/>
      <w:lvlJc w:val="left"/>
      <w:pPr>
        <w:ind w:left="6480" w:firstLine="12600"/>
      </w:pPr>
      <w:rPr>
        <w:rFonts w:ascii="Arial" w:eastAsia="Arial" w:hAnsi="Arial" w:cs="Arial"/>
        <w:b w:val="0"/>
        <w:i w:val="0"/>
        <w:smallCaps w:val="0"/>
        <w:strike w:val="0"/>
        <w:color w:val="000000"/>
        <w:sz w:val="22"/>
        <w:szCs w:val="22"/>
        <w:u w:val="none"/>
        <w:vertAlign w:val="baseline"/>
      </w:rPr>
    </w:lvl>
  </w:abstractNum>
  <w:abstractNum w:abstractNumId="1" w15:restartNumberingAfterBreak="0">
    <w:nsid w:val="74FB0FBB"/>
    <w:multiLevelType w:val="multilevel"/>
    <w:tmpl w:val="40C4E92C"/>
    <w:lvl w:ilvl="0">
      <w:start w:val="1"/>
      <w:numFmt w:val="decimal"/>
      <w:lvlText w:val="%1."/>
      <w:lvlJc w:val="left"/>
      <w:pPr>
        <w:ind w:left="720" w:firstLine="1080"/>
      </w:pPr>
      <w:rPr>
        <w:rFonts w:ascii="Arial" w:eastAsia="Arial" w:hAnsi="Arial" w:cs="Arial"/>
        <w:b w:val="0"/>
        <w:i w:val="0"/>
        <w:smallCaps w:val="0"/>
        <w:strike w:val="0"/>
        <w:color w:val="000000"/>
        <w:sz w:val="22"/>
        <w:szCs w:val="22"/>
        <w:u w:val="none"/>
        <w:vertAlign w:val="baseline"/>
      </w:rPr>
    </w:lvl>
    <w:lvl w:ilvl="1">
      <w:start w:val="1"/>
      <w:numFmt w:val="lowerLetter"/>
      <w:lvlText w:val="%2."/>
      <w:lvlJc w:val="left"/>
      <w:pPr>
        <w:ind w:left="1440" w:firstLine="2520"/>
      </w:pPr>
      <w:rPr>
        <w:rFonts w:ascii="Arial" w:eastAsia="Arial" w:hAnsi="Arial" w:cs="Arial"/>
        <w:b w:val="0"/>
        <w:i w:val="0"/>
        <w:smallCaps w:val="0"/>
        <w:strike w:val="0"/>
        <w:color w:val="000000"/>
        <w:sz w:val="22"/>
        <w:szCs w:val="22"/>
        <w:u w:val="none"/>
        <w:vertAlign w:val="baseline"/>
      </w:rPr>
    </w:lvl>
    <w:lvl w:ilvl="2">
      <w:start w:val="1"/>
      <w:numFmt w:val="lowerRoman"/>
      <w:lvlText w:val="%3."/>
      <w:lvlJc w:val="left"/>
      <w:pPr>
        <w:ind w:left="2160" w:firstLine="3960"/>
      </w:pPr>
      <w:rPr>
        <w:rFonts w:ascii="Arial" w:eastAsia="Arial" w:hAnsi="Arial" w:cs="Arial"/>
        <w:b w:val="0"/>
        <w:i w:val="0"/>
        <w:smallCaps w:val="0"/>
        <w:strike w:val="0"/>
        <w:color w:val="000000"/>
        <w:sz w:val="22"/>
        <w:szCs w:val="22"/>
        <w:u w:val="none"/>
        <w:vertAlign w:val="baseline"/>
      </w:rPr>
    </w:lvl>
    <w:lvl w:ilvl="3">
      <w:start w:val="1"/>
      <w:numFmt w:val="decimal"/>
      <w:lvlText w:val="%4."/>
      <w:lvlJc w:val="left"/>
      <w:pPr>
        <w:ind w:left="2880" w:firstLine="5400"/>
      </w:pPr>
      <w:rPr>
        <w:rFonts w:ascii="Arial" w:eastAsia="Arial" w:hAnsi="Arial" w:cs="Arial"/>
        <w:b w:val="0"/>
        <w:i w:val="0"/>
        <w:smallCaps w:val="0"/>
        <w:strike w:val="0"/>
        <w:color w:val="000000"/>
        <w:sz w:val="22"/>
        <w:szCs w:val="22"/>
        <w:u w:val="none"/>
        <w:vertAlign w:val="baseline"/>
      </w:rPr>
    </w:lvl>
    <w:lvl w:ilvl="4">
      <w:start w:val="1"/>
      <w:numFmt w:val="lowerLetter"/>
      <w:lvlText w:val="%5."/>
      <w:lvlJc w:val="left"/>
      <w:pPr>
        <w:ind w:left="3600" w:firstLine="6840"/>
      </w:pPr>
      <w:rPr>
        <w:rFonts w:ascii="Arial" w:eastAsia="Arial" w:hAnsi="Arial" w:cs="Arial"/>
        <w:b w:val="0"/>
        <w:i w:val="0"/>
        <w:smallCaps w:val="0"/>
        <w:strike w:val="0"/>
        <w:color w:val="000000"/>
        <w:sz w:val="22"/>
        <w:szCs w:val="22"/>
        <w:u w:val="none"/>
        <w:vertAlign w:val="baseline"/>
      </w:rPr>
    </w:lvl>
    <w:lvl w:ilvl="5">
      <w:start w:val="1"/>
      <w:numFmt w:val="lowerRoman"/>
      <w:lvlText w:val="%6."/>
      <w:lvlJc w:val="left"/>
      <w:pPr>
        <w:ind w:left="4320" w:firstLine="8280"/>
      </w:pPr>
      <w:rPr>
        <w:rFonts w:ascii="Arial" w:eastAsia="Arial" w:hAnsi="Arial" w:cs="Arial"/>
        <w:b w:val="0"/>
        <w:i w:val="0"/>
        <w:smallCaps w:val="0"/>
        <w:strike w:val="0"/>
        <w:color w:val="000000"/>
        <w:sz w:val="22"/>
        <w:szCs w:val="22"/>
        <w:u w:val="none"/>
        <w:vertAlign w:val="baseline"/>
      </w:rPr>
    </w:lvl>
    <w:lvl w:ilvl="6">
      <w:start w:val="1"/>
      <w:numFmt w:val="decimal"/>
      <w:lvlText w:val="%7."/>
      <w:lvlJc w:val="left"/>
      <w:pPr>
        <w:ind w:left="5040" w:firstLine="9720"/>
      </w:pPr>
      <w:rPr>
        <w:rFonts w:ascii="Arial" w:eastAsia="Arial" w:hAnsi="Arial" w:cs="Arial"/>
        <w:b w:val="0"/>
        <w:i w:val="0"/>
        <w:smallCaps w:val="0"/>
        <w:strike w:val="0"/>
        <w:color w:val="000000"/>
        <w:sz w:val="22"/>
        <w:szCs w:val="22"/>
        <w:u w:val="none"/>
        <w:vertAlign w:val="baseline"/>
      </w:rPr>
    </w:lvl>
    <w:lvl w:ilvl="7">
      <w:start w:val="1"/>
      <w:numFmt w:val="lowerLetter"/>
      <w:lvlText w:val="%8."/>
      <w:lvlJc w:val="left"/>
      <w:pPr>
        <w:ind w:left="5760" w:firstLine="11160"/>
      </w:pPr>
      <w:rPr>
        <w:rFonts w:ascii="Arial" w:eastAsia="Arial" w:hAnsi="Arial" w:cs="Arial"/>
        <w:b w:val="0"/>
        <w:i w:val="0"/>
        <w:smallCaps w:val="0"/>
        <w:strike w:val="0"/>
        <w:color w:val="000000"/>
        <w:sz w:val="22"/>
        <w:szCs w:val="22"/>
        <w:u w:val="none"/>
        <w:vertAlign w:val="baseline"/>
      </w:rPr>
    </w:lvl>
    <w:lvl w:ilvl="8">
      <w:start w:val="1"/>
      <w:numFmt w:val="lowerRoman"/>
      <w:lvlText w:val="%9."/>
      <w:lvlJc w:val="left"/>
      <w:pPr>
        <w:ind w:left="6480" w:firstLine="12600"/>
      </w:pPr>
      <w:rPr>
        <w:rFonts w:ascii="Arial" w:eastAsia="Arial" w:hAnsi="Arial" w:cs="Arial"/>
        <w:b w:val="0"/>
        <w:i w:val="0"/>
        <w:smallCaps w:val="0"/>
        <w:strike w:val="0"/>
        <w:color w:val="000000"/>
        <w:sz w:val="22"/>
        <w:szCs w:val="22"/>
        <w:u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0EF"/>
    <w:rsid w:val="00681278"/>
    <w:rsid w:val="007632D0"/>
    <w:rsid w:val="008555F8"/>
    <w:rsid w:val="009C4499"/>
    <w:rsid w:val="009E1E83"/>
    <w:rsid w:val="00AD75D5"/>
    <w:rsid w:val="00C540EF"/>
    <w:rsid w:val="00D315EE"/>
    <w:rsid w:val="00F63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F14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sz w:val="22"/>
        <w:szCs w:val="22"/>
        <w:lang w:val="en-US" w:eastAsia="en-US"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spacing w:before="480" w:after="120"/>
      <w:outlineLvl w:val="0"/>
    </w:pPr>
    <w:rPr>
      <w:b/>
      <w:sz w:val="36"/>
      <w:szCs w:val="36"/>
    </w:rPr>
  </w:style>
  <w:style w:type="paragraph" w:styleId="Heading2">
    <w:name w:val="heading 2"/>
    <w:basedOn w:val="Normal"/>
    <w:next w:val="Normal"/>
    <w:pPr>
      <w:spacing w:before="360" w:after="80"/>
      <w:outlineLvl w:val="1"/>
    </w:pPr>
    <w:rPr>
      <w:b/>
      <w:sz w:val="28"/>
      <w:szCs w:val="28"/>
    </w:rPr>
  </w:style>
  <w:style w:type="paragraph" w:styleId="Heading3">
    <w:name w:val="heading 3"/>
    <w:basedOn w:val="Normal"/>
    <w:next w:val="Normal"/>
    <w:pPr>
      <w:spacing w:before="280" w:after="80"/>
      <w:outlineLvl w:val="2"/>
    </w:pPr>
    <w:rPr>
      <w:b/>
      <w:color w:val="666666"/>
      <w:sz w:val="24"/>
      <w:szCs w:val="24"/>
    </w:rPr>
  </w:style>
  <w:style w:type="paragraph" w:styleId="Heading4">
    <w:name w:val="heading 4"/>
    <w:basedOn w:val="Normal"/>
    <w:next w:val="Normal"/>
    <w:pPr>
      <w:spacing w:before="240" w:after="40"/>
      <w:outlineLvl w:val="3"/>
    </w:pPr>
    <w:rPr>
      <w:i/>
      <w:color w:val="666666"/>
    </w:rPr>
  </w:style>
  <w:style w:type="paragraph" w:styleId="Heading5">
    <w:name w:val="heading 5"/>
    <w:basedOn w:val="Normal"/>
    <w:next w:val="Normal"/>
    <w:pPr>
      <w:spacing w:before="220" w:after="40"/>
      <w:outlineLvl w:val="4"/>
    </w:pPr>
    <w:rPr>
      <w:b/>
      <w:color w:val="666666"/>
      <w:sz w:val="20"/>
      <w:szCs w:val="20"/>
    </w:rPr>
  </w:style>
  <w:style w:type="paragraph" w:styleId="Heading6">
    <w:name w:val="heading 6"/>
    <w:basedOn w:val="Normal"/>
    <w:next w:val="Normal"/>
    <w:pPr>
      <w:spacing w:before="200" w:after="40"/>
      <w:outlineLvl w:val="5"/>
    </w:pPr>
    <w:rPr>
      <w:i/>
      <w:color w:val="66666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480" w:after="120"/>
    </w:pPr>
    <w:rPr>
      <w:b/>
      <w:sz w:val="72"/>
      <w:szCs w:val="72"/>
    </w:rPr>
  </w:style>
  <w:style w:type="paragraph" w:styleId="Subtitle">
    <w:name w:val="Subtitle"/>
    <w:basedOn w:val="Normal"/>
    <w:next w:val="Normal"/>
    <w:pP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F639BC"/>
    <w:pPr>
      <w:tabs>
        <w:tab w:val="center" w:pos="4680"/>
        <w:tab w:val="right" w:pos="9360"/>
      </w:tabs>
    </w:pPr>
  </w:style>
  <w:style w:type="character" w:customStyle="1" w:styleId="HeaderChar">
    <w:name w:val="Header Char"/>
    <w:basedOn w:val="DefaultParagraphFont"/>
    <w:link w:val="Header"/>
    <w:uiPriority w:val="99"/>
    <w:rsid w:val="00F639BC"/>
  </w:style>
  <w:style w:type="paragraph" w:styleId="Footer">
    <w:name w:val="footer"/>
    <w:basedOn w:val="Normal"/>
    <w:link w:val="FooterChar"/>
    <w:uiPriority w:val="99"/>
    <w:unhideWhenUsed/>
    <w:rsid w:val="00F639BC"/>
    <w:pPr>
      <w:tabs>
        <w:tab w:val="center" w:pos="4680"/>
        <w:tab w:val="right" w:pos="9360"/>
      </w:tabs>
    </w:pPr>
  </w:style>
  <w:style w:type="character" w:customStyle="1" w:styleId="FooterChar">
    <w:name w:val="Footer Char"/>
    <w:basedOn w:val="DefaultParagraphFont"/>
    <w:link w:val="Footer"/>
    <w:uiPriority w:val="99"/>
    <w:rsid w:val="00F639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ResearchReport" Type="http://schemas.openxmlformats.org/officeDocument/2006/relationships/hyperlink" Target="../results/research_strategies/repo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Kumar</dc:creator>
  <cp:lastModifiedBy>Akshay Kumar</cp:lastModifiedBy>
  <cp:revision>1</cp:revision>
  <dcterms:created xsi:type="dcterms:W3CDTF">2015-06-05T19:42:00Z</dcterms:created>
  <dcterms:modified xsi:type="dcterms:W3CDTF">2018-01-27T01:10:00Z</dcterms:modified>
  <dc:title>ALIVE Research Strategy Comparison Design Specification</dc:title>
</cp:coreProperties>
</file>