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60"/>
        <w:jc w:val="center"/>
      </w:pPr>
      <w:r>
        <w:rPr>
          <w:rFonts w:ascii="Times New Roman" w:cs="Times New Roman" w:eastAsia="Times New Roman" w:hAnsi="Times New Roman"/>
          <w:b/>
          <w:bCs/>
          <w:i w:val="false"/>
          <w:iCs w:val="false"/>
          <w:sz w:val="24"/>
          <w:szCs w:val="24"/>
          <w:highlight w:val="yellow"/>
          <w:highlightCs w:val="yellow"/>
        </w:rPr>
        <w:t xml:space="preserve">[NOME DA FACULDADE]</w:t>
      </w:r>
    </w:p>
    <w:p>
      <w:pPr>
        <w:spacing w:after="0" w:before="0" w:line="360"/>
        <w:jc w:val="center"/>
      </w:pPr>
      <w:r>
        <w:rPr>
          <w:rFonts w:ascii="Times New Roman" w:cs="Times New Roman" w:eastAsia="Times New Roman" w:hAnsi="Times New Roman"/>
          <w:b/>
          <w:bCs/>
          <w:i w:val="false"/>
          <w:iCs w:val="false"/>
          <w:sz w:val="24"/>
          <w:szCs w:val="24"/>
        </w:rPr>
        <w:t xml:space="preserve">CURSO SUPERIOR DE TECNOLOGIA EM ANÁLISE E DESENVOLVIMENTO DE SISTEMAS</w:t>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after="0" w:before="0" w:line="360"/>
        <w:jc w:val="center"/>
      </w:pPr>
      <w:r>
        <w:rPr>
          <w:rFonts w:ascii="Times New Roman" w:cs="Times New Roman" w:eastAsia="Times New Roman" w:hAnsi="Times New Roman"/>
          <w:b/>
          <w:bCs/>
          <w:i w:val="false"/>
          <w:iCs w:val="false"/>
          <w:sz w:val="24"/>
          <w:szCs w:val="24"/>
          <w:highlight w:val="yellow"/>
          <w:highlightCs w:val="yellow"/>
        </w:rPr>
        <w:t xml:space="preserve">[SEU NOME COMPLETO]</w:t>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after="0" w:before="0" w:line="360"/>
        <w:jc w:val="center"/>
      </w:pPr>
      <w:r>
        <w:rPr>
          <w:rFonts w:ascii="Times New Roman" w:cs="Times New Roman" w:eastAsia="Times New Roman" w:hAnsi="Times New Roman"/>
          <w:b/>
          <w:bCs/>
          <w:i w:val="false"/>
          <w:iCs w:val="false"/>
          <w:sz w:val="24"/>
          <w:szCs w:val="24"/>
        </w:rPr>
        <w:t xml:space="preserve">ATELIÊ ESCOLAR: DESENVOLVIMENTO DE UMA PLATAFORMA WEB PARA DIVULGAÇÃO E COMERCIALIZAÇÃO DE MATERIAIS DIDÁTICOS AUTORAIS POR PROFESSORES DA EDUCAÇÃO BÁSICA</w:t>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after="0" w:before="0" w:line="360"/>
        <w:jc w:val="center"/>
      </w:pPr>
      <w:r>
        <w:rPr>
          <w:rFonts w:ascii="Times New Roman" w:cs="Times New Roman" w:eastAsia="Times New Roman" w:hAnsi="Times New Roman"/>
          <w:b/>
          <w:bCs/>
          <w:i w:val="false"/>
          <w:iCs w:val="false"/>
          <w:sz w:val="24"/>
          <w:szCs w:val="24"/>
          <w:highlight w:val="yellow"/>
          <w:highlightCs w:val="yellow"/>
        </w:rPr>
        <w:t xml:space="preserve">[CIDADE]</w:t>
      </w:r>
    </w:p>
    <w:p>
      <w:pPr>
        <w:spacing w:after="0" w:before="0" w:line="360"/>
        <w:jc w:val="center"/>
      </w:pPr>
      <w:r>
        <w:rPr>
          <w:rFonts w:ascii="Times New Roman" w:cs="Times New Roman" w:eastAsia="Times New Roman" w:hAnsi="Times New Roman"/>
          <w:b/>
          <w:bCs/>
          <w:i w:val="false"/>
          <w:iCs w:val="false"/>
          <w:sz w:val="24"/>
          <w:szCs w:val="24"/>
        </w:rPr>
        <w:t xml:space="preserve">2026</w:t>
      </w:r>
    </w:p>
    <w:p/>
    <w:p>
      <w:pPr>
        <w:pageBreakBefore/>
      </w:pPr>
    </w:p>
    <w:p>
      <w:pPr>
        <w:spacing w:after="0" w:before="0" w:line="360"/>
        <w:jc w:val="center"/>
      </w:pPr>
      <w:r>
        <w:rPr>
          <w:rFonts w:ascii="Times New Roman" w:cs="Times New Roman" w:eastAsia="Times New Roman" w:hAnsi="Times New Roman"/>
          <w:b/>
          <w:bCs/>
          <w:i w:val="false"/>
          <w:iCs w:val="false"/>
          <w:sz w:val="24"/>
          <w:szCs w:val="24"/>
          <w:highlight w:val="yellow"/>
          <w:highlightCs w:val="yellow"/>
        </w:rPr>
        <w:t xml:space="preserve">[SEU NOME COMPLETO]</w:t>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after="0" w:before="0" w:line="360"/>
        <w:jc w:val="center"/>
      </w:pPr>
      <w:r>
        <w:rPr>
          <w:rFonts w:ascii="Times New Roman" w:cs="Times New Roman" w:eastAsia="Times New Roman" w:hAnsi="Times New Roman"/>
          <w:b/>
          <w:bCs/>
          <w:i w:val="false"/>
          <w:iCs w:val="false"/>
          <w:sz w:val="24"/>
          <w:szCs w:val="24"/>
        </w:rPr>
        <w:t xml:space="preserve">ATELIÊ ESCOLAR: DESENVOLVIMENTO DE UMA PLATAFORMA WEB PARA DIVULGAÇÃO E COMERCIALIZAÇÃO DE MATERIAIS DIDÁTICOS AUTORAIS POR PROFESSORES DA EDUCAÇÃO BÁSICA</w:t>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after="240" w:line="240"/>
        <w:ind w:left="4536"/>
        <w:jc w:val="both"/>
      </w:pPr>
      <w:r>
        <w:rPr>
          <w:rFonts w:ascii="Times New Roman" w:cs="Times New Roman" w:eastAsia="Times New Roman" w:hAnsi="Times New Roman"/>
          <w:b w:val="false"/>
          <w:bCs w:val="false"/>
          <w:i w:val="false"/>
          <w:iCs w:val="false"/>
          <w:sz w:val="24"/>
          <w:szCs w:val="24"/>
        </w:rPr>
        <w:t xml:space="preserve">Trabalho de Conclusão de Curso apresentado ao Curso Superior de Tecnologia em Análise e Desenvolvimento de Sistemas da </w:t>
      </w:r>
      <w:r>
        <w:rPr>
          <w:rFonts w:ascii="Times New Roman" w:cs="Times New Roman" w:eastAsia="Times New Roman" w:hAnsi="Times New Roman"/>
          <w:b w:val="false"/>
          <w:bCs w:val="false"/>
          <w:i w:val="false"/>
          <w:iCs w:val="false"/>
          <w:sz w:val="24"/>
          <w:szCs w:val="24"/>
          <w:highlight w:val="yellow"/>
          <w:highlightCs w:val="yellow"/>
        </w:rPr>
        <w:t xml:space="preserve">[NOME DA FACULDADE]</w:t>
      </w:r>
      <w:r>
        <w:rPr>
          <w:rFonts w:ascii="Times New Roman" w:cs="Times New Roman" w:eastAsia="Times New Roman" w:hAnsi="Times New Roman"/>
          <w:b w:val="false"/>
          <w:bCs w:val="false"/>
          <w:i w:val="false"/>
          <w:iCs w:val="false"/>
          <w:sz w:val="24"/>
          <w:szCs w:val="24"/>
        </w:rPr>
        <w:t xml:space="preserve">, como requisito parcial para a obtenção do título de Tecnólogo em Análise e Desenvolvimento de Sistemas.</w:t>
      </w:r>
    </w:p>
    <w:p>
      <w:pPr>
        <w:spacing w:line="240"/>
        <w:ind w:left="4536"/>
        <w:jc w:val="both"/>
      </w:pPr>
      <w:r>
        <w:rPr>
          <w:rFonts w:ascii="Times New Roman" w:cs="Times New Roman" w:eastAsia="Times New Roman" w:hAnsi="Times New Roman"/>
          <w:b w:val="false"/>
          <w:bCs w:val="false"/>
          <w:i w:val="false"/>
          <w:iCs w:val="false"/>
          <w:sz w:val="24"/>
          <w:szCs w:val="24"/>
        </w:rPr>
        <w:t xml:space="preserve">Orientador(a): Prof.(a) </w:t>
      </w:r>
      <w:r>
        <w:rPr>
          <w:rFonts w:ascii="Times New Roman" w:cs="Times New Roman" w:eastAsia="Times New Roman" w:hAnsi="Times New Roman"/>
          <w:b w:val="false"/>
          <w:bCs w:val="false"/>
          <w:i w:val="false"/>
          <w:iCs w:val="false"/>
          <w:sz w:val="24"/>
          <w:szCs w:val="24"/>
          <w:highlight w:val="yellow"/>
          <w:highlightCs w:val="yellow"/>
        </w:rPr>
        <w:t xml:space="preserve">[TITULAÇÃO]</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highlight w:val="yellow"/>
          <w:highlightCs w:val="yellow"/>
        </w:rPr>
        <w:t xml:space="preserve">[NOME DO ORIENTADOR]</w:t>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after="0" w:before="0" w:line="360"/>
        <w:jc w:val="center"/>
      </w:pPr>
      <w:r>
        <w:rPr>
          <w:rFonts w:ascii="Times New Roman" w:cs="Times New Roman" w:eastAsia="Times New Roman" w:hAnsi="Times New Roman"/>
          <w:b/>
          <w:bCs/>
          <w:i w:val="false"/>
          <w:iCs w:val="false"/>
          <w:sz w:val="24"/>
          <w:szCs w:val="24"/>
          <w:highlight w:val="yellow"/>
          <w:highlightCs w:val="yellow"/>
        </w:rPr>
        <w:t xml:space="preserve">[CIDADE]</w:t>
      </w:r>
    </w:p>
    <w:p>
      <w:pPr>
        <w:spacing w:after="0" w:before="0" w:line="360"/>
        <w:jc w:val="center"/>
      </w:pPr>
      <w:r>
        <w:rPr>
          <w:rFonts w:ascii="Times New Roman" w:cs="Times New Roman" w:eastAsia="Times New Roman" w:hAnsi="Times New Roman"/>
          <w:b/>
          <w:bCs/>
          <w:i w:val="false"/>
          <w:iCs w:val="false"/>
          <w:sz w:val="24"/>
          <w:szCs w:val="24"/>
        </w:rPr>
        <w:t xml:space="preserve">2026</w:t>
      </w:r>
    </w:p>
    <w:p>
      <w:pPr>
        <w:pageBreakBefore/>
      </w:pPr>
    </w:p>
    <w:p>
      <w:pPr>
        <w:spacing w:after="360" w:before="0" w:line="360"/>
        <w:jc w:val="center"/>
      </w:pPr>
      <w:r>
        <w:rPr>
          <w:rFonts w:ascii="Times New Roman" w:cs="Times New Roman" w:eastAsia="Times New Roman" w:hAnsi="Times New Roman"/>
          <w:b/>
          <w:bCs/>
          <w:i w:val="false"/>
          <w:iCs w:val="false"/>
          <w:sz w:val="24"/>
          <w:szCs w:val="24"/>
        </w:rPr>
        <w:t xml:space="preserve">RESUMO</w:t>
      </w:r>
    </w:p>
    <w:p>
      <w:pPr>
        <w:spacing w:after="360" w:line="360"/>
        <w:jc w:val="both"/>
      </w:pPr>
      <w:r>
        <w:rPr>
          <w:rFonts w:ascii="Times New Roman" w:cs="Times New Roman" w:eastAsia="Times New Roman" w:hAnsi="Times New Roman"/>
          <w:b w:val="false"/>
          <w:bCs w:val="false"/>
          <w:i w:val="false"/>
          <w:iCs w:val="false"/>
          <w:sz w:val="24"/>
          <w:szCs w:val="24"/>
        </w:rPr>
        <w:t xml:space="preserve">A comercialização de materiais didáticos autorais produzidos por professores da educação básica ocorre, em grande parte, por canais informais e fragmentados, como redes sociais, aplicativos de mensagens e transferências diretas, o que resulta em subvalorização do trabalho docente, ausência de garantias nas transações e dificuldade de descoberta dos conteúdos por outros educadores. Diante desse cenário, este trabalho teve como objetivo desenvolver o Ateliê Escolar, uma plataforma web de comércio eletrônico especializada na divulgação e na comercialização segura de materiais didáticos autorais. A pesquisa, de natureza aplicada e abordagem qualitativa, com objetivos exploratório-descritivos, adotou como procedimentos a pesquisa bibliográfica e o desenvolvimento de protótipo funcional, compreendendo as etapas de levantamento de requisitos, modelagem da arquitetura e do banco de dados, implementação e testes. A solução foi construída com React no front-end, funções serverless em Node.js no back-end e Supabase (PostgreSQL) como camada de dados e autenticação, contemplando catálogo de produtos, carrinho de compras, checkout integrado a meio de pagamento com entrega digital automática, gestão de pedidos, sistema de cupons, painel administrativo com indicadores analíticos, controle de acesso por perfil e mecanismos alinhados à Lei Geral de Proteção de Dados (LGPD), como a exclusão de conta pelo próprio titular e o registro de auditoria das ações administrativas. Os resultados indicam que a plataforma centraliza e profissionaliza o processo de divulgação e venda desses conteúdos, reduzindo a informalidade e a fragmentação dos canais atualmente utilizados e oferecendo infraestrutura segura para a monetização do trabalho docente.</w:t>
      </w:r>
    </w:p>
    <w:p>
      <w:pPr>
        <w:spacing w:line="360"/>
        <w:jc w:val="both"/>
      </w:pPr>
      <w:r>
        <w:rPr>
          <w:rFonts w:ascii="Times New Roman" w:cs="Times New Roman" w:eastAsia="Times New Roman" w:hAnsi="Times New Roman"/>
          <w:b/>
          <w:bCs/>
          <w:sz w:val="24"/>
          <w:szCs w:val="24"/>
        </w:rPr>
        <w:t xml:space="preserve">Palavras-chave: </w:t>
      </w:r>
      <w:r>
        <w:rPr>
          <w:rFonts w:ascii="Times New Roman" w:cs="Times New Roman" w:eastAsia="Times New Roman" w:hAnsi="Times New Roman"/>
          <w:b w:val="false"/>
          <w:bCs w:val="false"/>
          <w:i w:val="false"/>
          <w:iCs w:val="false"/>
          <w:sz w:val="24"/>
          <w:szCs w:val="24"/>
        </w:rPr>
        <w:t xml:space="preserve">materiais didáticos autorais; comércio eletrônico; plataforma web; trabalho docente; tecnologia educacional.</w:t>
      </w:r>
    </w:p>
    <w:p>
      <w:pPr>
        <w:pageBreakBefore/>
      </w:pPr>
    </w:p>
    <w:p>
      <w:pPr>
        <w:spacing w:after="360" w:before="0" w:line="360"/>
        <w:jc w:val="center"/>
      </w:pPr>
      <w:r>
        <w:rPr>
          <w:rFonts w:ascii="Times New Roman" w:cs="Times New Roman" w:eastAsia="Times New Roman" w:hAnsi="Times New Roman"/>
          <w:b/>
          <w:bCs/>
          <w:i w:val="false"/>
          <w:iCs w:val="false"/>
          <w:sz w:val="24"/>
          <w:szCs w:val="24"/>
        </w:rPr>
        <w:t xml:space="preserve">ABSTRACT</w:t>
      </w:r>
    </w:p>
    <w:p>
      <w:pPr>
        <w:spacing w:after="360" w:line="360"/>
        <w:jc w:val="both"/>
      </w:pPr>
      <w:r>
        <w:rPr>
          <w:rFonts w:ascii="Times New Roman" w:cs="Times New Roman" w:eastAsia="Times New Roman" w:hAnsi="Times New Roman"/>
          <w:b w:val="false"/>
          <w:bCs w:val="false"/>
          <w:i w:val="false"/>
          <w:iCs w:val="false"/>
          <w:sz w:val="24"/>
          <w:szCs w:val="24"/>
        </w:rPr>
        <w:t xml:space="preserve">The commercialization of original teaching materials produced by basic education teachers largely takes place through informal and fragmented channels, such as social networks, messaging applications, and direct transfers, which results in the undervaluation of teaching work, the absence of transaction guarantees, and difficulty for other educators in discovering such content. In this scenario, this work aimed to develop Ateliê Escolar, a web-based e-commerce platform specialized in the promotion and secure commercialization of original teaching materials. The research, of an applied nature and qualitative approach, with exploratory-descriptive objectives, adopted bibliographic research and the development of a functional prototype as procedures, comprising the stages of requirements elicitation, architecture and database modeling, implementation, and testing. The solution was built with React on the front end, serverless Node.js functions on the back end, and Supabase (PostgreSQL) as the data and authentication layer, encompassing a product catalog, shopping cart, checkout integrated with a payment provider and automatic digital delivery, order management, a coupon system, an administrative dashboard with analytical indicators, role-based access control, and mechanisms aligned with the Brazilian General Data Protection Law (LGPD), such as self-service account deletion and audit logging of administrative actions. The results indicate that the platform centralizes and professionalizes the process of promoting and selling such content, reducing the informality and fragmentation of the channels currently used and providing a secure infrastructure for the monetization of teaching work.</w:t>
      </w:r>
    </w:p>
    <w:p>
      <w:pPr>
        <w:spacing w:line="360"/>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b w:val="false"/>
          <w:bCs w:val="false"/>
          <w:i w:val="false"/>
          <w:iCs w:val="false"/>
          <w:sz w:val="24"/>
          <w:szCs w:val="24"/>
        </w:rPr>
        <w:t xml:space="preserve">original teaching materials; e-commerce; web platform; teaching work; educational technology.</w:t>
      </w:r>
    </w:p>
    <w:p>
      <w:pPr>
        <w:pageBreakBefore/>
      </w:pPr>
    </w:p>
    <w:p>
      <w:pPr>
        <w:spacing w:after="360" w:before="0" w:line="360"/>
        <w:jc w:val="center"/>
      </w:pPr>
      <w:r>
        <w:rPr>
          <w:rFonts w:ascii="Times New Roman" w:cs="Times New Roman" w:eastAsia="Times New Roman" w:hAnsi="Times New Roman"/>
          <w:b/>
          <w:bCs/>
          <w:i w:val="false"/>
          <w:iCs w:val="false"/>
          <w:sz w:val="24"/>
          <w:szCs w:val="24"/>
        </w:rPr>
        <w:t xml:space="preserve">SUMÁRIO</w:t>
      </w:r>
    </w:p>
    <w:sdt>
      <w:sdtPr>
        <w:alias w:val="Sumário"/>
      </w:sdtPr>
      <w:sdtContent>
        <w:p>
          <w:r>
            <w:fldChar w:fldCharType="begin" w:dirty="true"/>
            <w:instrText xml:space="preserve">TOC \h \o "1-3"</w:instrText>
            <w:fldChar w:fldCharType="separate"/>
          </w:r>
        </w:p>
        <w:p>
          <w:r>
            <w:fldChar w:fldCharType="end"/>
          </w:r>
        </w:p>
      </w:sdtContent>
    </w:sdt>
    <w:p>
      <w:pPr>
        <w:sectPr>
          <w:headerReference w:type="default" r:id="rId7"/>
          <w:pgSz w:w="11906" w:h="16838" w:orient="portrait"/>
          <w:pgMar w:top="1701" w:right="1134" w:bottom="1134" w:left="1701" w:header="708" w:footer="708" w:gutter="0"/>
          <w:pgNumType/>
          <w:docGrid w:linePitch="360"/>
        </w:sectPr>
      </w:pPr>
    </w:p>
    <w:p>
      <w:pPr>
        <w:pStyle w:val="Heading1"/>
        <w:spacing w:after="360" w:before="0" w:line="360"/>
        <w:jc w:val="left"/>
      </w:pPr>
      <w:r>
        <w:rPr>
          <w:rFonts w:ascii="Times New Roman" w:cs="Times New Roman" w:eastAsia="Times New Roman" w:hAnsi="Times New Roman"/>
          <w:b/>
          <w:bCs/>
          <w:i w:val="false"/>
          <w:iCs w:val="false"/>
          <w:sz w:val="24"/>
          <w:szCs w:val="24"/>
        </w:rPr>
        <w:t xml:space="preserve">1 INTRODUÇÃO</w:t>
      </w:r>
    </w:p>
    <w:p>
      <w:pPr>
        <w:pStyle w:val="Heading2"/>
        <w:spacing w:after="360" w:before="360" w:line="360"/>
        <w:jc w:val="left"/>
      </w:pPr>
      <w:r>
        <w:rPr>
          <w:rFonts w:ascii="Times New Roman" w:cs="Times New Roman" w:eastAsia="Times New Roman" w:hAnsi="Times New Roman"/>
          <w:b/>
          <w:bCs/>
          <w:i w:val="false"/>
          <w:iCs w:val="false"/>
          <w:sz w:val="24"/>
          <w:szCs w:val="24"/>
        </w:rPr>
        <w:t xml:space="preserve">1.1 Contextualização e problema de pesquisa</w:t>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A produção de materiais didáticos autorais figura entre as expressões mais concretas do saber profissional que os professores da educação básica constroem ao longo da carreira. Planos de aula, sequências de atividades, jogos pedagógicos e instrumentos de avaliação elaborados pelo próprio docente condensam saberes experienciais que não se encontram prontos nos livros didáticos convencionais, pois nascem do confronto cotidiano com turmas reais e contextos específicos (TARDIF, 2014). Quando circulam entre colegas, esses artefatos deixam de ser recursos meramente individuais e passam a compor um repertório coletivo da profissão. Tal movimento dialoga com a defesa de uma posição docente firmada sobre o conhecimento produzido pelos próprios professores (NÓVOA, 2017).</w:t>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Entretanto, a circulação comercial desses materiais ocorre, em grande medida, por canais informais e fragmentados. Parcela expressiva dos professores divulga e vende suas produções em grupos de WhatsApp e perfis em redes sociais, entrega os arquivos por links de Google Drive e recebe pagamentos por Pix, sem qualquer garantia transacional. As consequências dessa informalidade se encadeiam: o trabalho docente é subvalorizado, a renda complementar se dissipa em negociações dispersas e os direitos autorais assegurados pela Lei nº 9.610/1998 permanecem sem proteção prática (BRASIL, 1998). Outros educadores, por sua vez, têm dificuldade de localizar bons materiais, dado que não existe um catálogo organizado e pesquisável. O quadro se agrava em um contexto de precarização e intensificação do trabalho docente, no qual a busca por fontes complementares de renda se tornou recorrente (OLIVEIRA, 2004).</w:t>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Diante dessa dispersão, as plataformas digitais de comércio eletrônico apresentam-se como alternativa. A literatura sobre </w:t>
      </w:r>
      <w:r>
        <w:rPr>
          <w:rFonts w:ascii="Times New Roman" w:cs="Times New Roman" w:eastAsia="Times New Roman" w:hAnsi="Times New Roman"/>
          <w:b w:val="false"/>
          <w:bCs w:val="false"/>
          <w:i/>
          <w:iCs/>
          <w:sz w:val="24"/>
          <w:szCs w:val="24"/>
        </w:rPr>
        <w:t xml:space="preserve">e-commerce</w:t>
      </w:r>
      <w:r>
        <w:rPr>
          <w:rFonts w:ascii="Times New Roman" w:cs="Times New Roman" w:eastAsia="Times New Roman" w:hAnsi="Times New Roman"/>
          <w:b w:val="false"/>
          <w:bCs w:val="false"/>
          <w:i w:val="false"/>
          <w:iCs w:val="false"/>
          <w:sz w:val="24"/>
          <w:szCs w:val="24"/>
        </w:rPr>
        <w:t xml:space="preserve"> indica que ambientes transacionais especializados reduzem custos de busca e de negociação, conferem segurança ao pagamento e ampliam o alcance geográfico de vendedores individuais (LAUDON; TRAVER, 2023). No mercado internacional, esse movimento já consolidou a figura dos </w:t>
      </w:r>
      <w:r>
        <w:rPr>
          <w:rFonts w:ascii="Times New Roman" w:cs="Times New Roman" w:eastAsia="Times New Roman" w:hAnsi="Times New Roman"/>
          <w:b w:val="false"/>
          <w:bCs w:val="false"/>
          <w:i/>
          <w:iCs/>
          <w:sz w:val="24"/>
          <w:szCs w:val="24"/>
        </w:rPr>
        <w:t xml:space="preserve">teacherpreneurs</w:t>
      </w:r>
      <w:r>
        <w:rPr>
          <w:rFonts w:ascii="Times New Roman" w:cs="Times New Roman" w:eastAsia="Times New Roman" w:hAnsi="Times New Roman"/>
          <w:b w:val="false"/>
          <w:bCs w:val="false"/>
          <w:i w:val="false"/>
          <w:iCs w:val="false"/>
          <w:sz w:val="24"/>
          <w:szCs w:val="24"/>
        </w:rPr>
        <w:t xml:space="preserve">, professores que comercializam conteúdos pedagógicos autorais em plataformas como o TeachersPayTeachers (SHELTON; ARCHAMBAULT, 2019). A lógica da cauda longa reforça a viabilidade econômica de nichos dessa natureza, uma vez que a distribuição digital permite atender demandas segmentadas ignoradas pelo mercado editorial de massa (ANDERSON, 2006). No Brasil, embora o ecossistema de tecnologias educacionais venha crescendo de forma consistente (CIEB; ABSTARTUPS, 2021), não se observa oferta consolidada voltada especificamente à comercialização de materiais didáticos autorais de professores da educação básica. É nessa lacuna que se insere o Ateliê Escolar, plataforma desenvolvida neste trabalho.</w:t>
      </w:r>
    </w:p>
    <w:p>
      <w:pPr>
        <w:pStyle w:val="Heading2"/>
        <w:spacing w:after="360" w:before="360" w:line="360"/>
        <w:jc w:val="left"/>
      </w:pPr>
      <w:r>
        <w:rPr>
          <w:rFonts w:ascii="Times New Roman" w:cs="Times New Roman" w:eastAsia="Times New Roman" w:hAnsi="Times New Roman"/>
          <w:b/>
          <w:bCs/>
          <w:i w:val="false"/>
          <w:iCs w:val="false"/>
          <w:sz w:val="24"/>
          <w:szCs w:val="24"/>
        </w:rPr>
        <w:t xml:space="preserve">1.2 Pergunta de pesquisa</w:t>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Diante do problema exposto, o presente trabalho orienta-se pela seguinte pergunta de pesquisa: de que forma uma plataforma web especializada pode facilitar a divulgação e a monetização de materiais didáticos autorais produzidos por professores da educação básica, reduzindo a informalidade e a fragmentação dos canais atualmente utilizados? A pergunta articula duas dimensões complementares: a compreensão do problema socioeducacional da informalidade e a construção de uma resposta tecnológica concreta, materializada no desenvolvimento da plataforma e na discussão de seus resultados. Trata-se, desse modo, de examinar não apenas a viabilidade técnica da solução, mas também sua adequação às práticas já estabelecidas pelos docentes que produzem e adquirem esses materiais.</w:t>
      </w:r>
    </w:p>
    <w:p>
      <w:pPr>
        <w:pStyle w:val="Heading2"/>
        <w:spacing w:after="360" w:before="360" w:line="360"/>
        <w:jc w:val="left"/>
      </w:pPr>
      <w:r>
        <w:rPr>
          <w:rFonts w:ascii="Times New Roman" w:cs="Times New Roman" w:eastAsia="Times New Roman" w:hAnsi="Times New Roman"/>
          <w:b/>
          <w:bCs/>
          <w:i w:val="false"/>
          <w:iCs w:val="false"/>
          <w:sz w:val="24"/>
          <w:szCs w:val="24"/>
        </w:rPr>
        <w:t xml:space="preserve">1.3 Objetivos</w:t>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Para responder à pergunta formulada, foram definidos o objetivo geral e os objetivos específicos descritos a seguir.</w:t>
      </w:r>
    </w:p>
    <w:p>
      <w:pPr>
        <w:pStyle w:val="Heading3"/>
        <w:spacing w:after="360" w:before="360" w:line="360"/>
        <w:jc w:val="left"/>
      </w:pPr>
      <w:r>
        <w:rPr>
          <w:rFonts w:ascii="Times New Roman" w:cs="Times New Roman" w:eastAsia="Times New Roman" w:hAnsi="Times New Roman"/>
          <w:b/>
          <w:bCs/>
          <w:i w:val="false"/>
          <w:iCs w:val="false"/>
          <w:sz w:val="24"/>
          <w:szCs w:val="24"/>
        </w:rPr>
        <w:t xml:space="preserve">1.3.1 Objetivo geral</w:t>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Desenvolver uma plataforma web de </w:t>
      </w:r>
      <w:r>
        <w:rPr>
          <w:rFonts w:ascii="Times New Roman" w:cs="Times New Roman" w:eastAsia="Times New Roman" w:hAnsi="Times New Roman"/>
          <w:b w:val="false"/>
          <w:bCs w:val="false"/>
          <w:i/>
          <w:iCs/>
          <w:sz w:val="24"/>
          <w:szCs w:val="24"/>
        </w:rPr>
        <w:t xml:space="preserve">e-commerce</w:t>
      </w:r>
      <w:r>
        <w:rPr>
          <w:rFonts w:ascii="Times New Roman" w:cs="Times New Roman" w:eastAsia="Times New Roman" w:hAnsi="Times New Roman"/>
          <w:b w:val="false"/>
          <w:bCs w:val="false"/>
          <w:i w:val="false"/>
          <w:iCs w:val="false"/>
          <w:sz w:val="24"/>
          <w:szCs w:val="24"/>
        </w:rPr>
        <w:t xml:space="preserve"> especializada na divulgação e na comercialização de materiais didáticos autorais produzidos por professores da educação básica, oferecendo catálogo organizado, pagamento integrado e entrega digital controlada como alternativa aos canais informais hoje empregados.</w:t>
      </w:r>
    </w:p>
    <w:p>
      <w:pPr>
        <w:pStyle w:val="Heading3"/>
        <w:spacing w:after="360" w:before="360" w:line="360"/>
        <w:jc w:val="left"/>
      </w:pPr>
      <w:r>
        <w:rPr>
          <w:rFonts w:ascii="Times New Roman" w:cs="Times New Roman" w:eastAsia="Times New Roman" w:hAnsi="Times New Roman"/>
          <w:b/>
          <w:bCs/>
          <w:i w:val="false"/>
          <w:iCs w:val="false"/>
          <w:sz w:val="24"/>
          <w:szCs w:val="24"/>
        </w:rPr>
        <w:t xml:space="preserve">1.3.2 Objetivos específicos</w:t>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Para alcançar o objetivo geral, foram estabelecidos os seguintes objetivos específicos:</w:t>
      </w:r>
    </w:p>
    <w:p>
      <w:pPr>
        <w:spacing w:after="0" w:before="0" w:line="360"/>
        <w:ind w:left="709"/>
        <w:jc w:val="both"/>
      </w:pPr>
      <w:r>
        <w:rPr>
          <w:rFonts w:ascii="Times New Roman" w:cs="Times New Roman" w:eastAsia="Times New Roman" w:hAnsi="Times New Roman"/>
          <w:b w:val="false"/>
          <w:bCs w:val="false"/>
          <w:i w:val="false"/>
          <w:iCs w:val="false"/>
          <w:sz w:val="24"/>
          <w:szCs w:val="24"/>
        </w:rPr>
        <w:t xml:space="preserve">a) analisar o problema da informalidade na venda de materiais didáticos autorais pelos professores da educação básica;</w:t>
      </w:r>
    </w:p>
    <w:p>
      <w:pPr>
        <w:spacing w:after="0" w:before="0" w:line="360"/>
        <w:ind w:left="709"/>
        <w:jc w:val="both"/>
      </w:pPr>
      <w:r>
        <w:rPr>
          <w:rFonts w:ascii="Times New Roman" w:cs="Times New Roman" w:eastAsia="Times New Roman" w:hAnsi="Times New Roman"/>
          <w:b w:val="false"/>
          <w:bCs w:val="false"/>
          <w:i w:val="false"/>
          <w:iCs w:val="false"/>
          <w:sz w:val="24"/>
          <w:szCs w:val="24"/>
        </w:rPr>
        <w:t xml:space="preserve">b) levantar os requisitos funcionais e não funcionais da plataforma;</w:t>
      </w:r>
    </w:p>
    <w:p>
      <w:pPr>
        <w:spacing w:after="0" w:before="0" w:line="360"/>
        <w:ind w:left="709"/>
        <w:jc w:val="both"/>
      </w:pPr>
      <w:r>
        <w:rPr>
          <w:rFonts w:ascii="Times New Roman" w:cs="Times New Roman" w:eastAsia="Times New Roman" w:hAnsi="Times New Roman"/>
          <w:b w:val="false"/>
          <w:bCs w:val="false"/>
          <w:i w:val="false"/>
          <w:iCs w:val="false"/>
          <w:sz w:val="24"/>
          <w:szCs w:val="24"/>
        </w:rPr>
        <w:t xml:space="preserve">c) modelar a arquitetura do sistema e o banco de dados que sustentam a solução;</w:t>
      </w:r>
    </w:p>
    <w:p>
      <w:pPr>
        <w:spacing w:after="0" w:before="0" w:line="360"/>
        <w:ind w:left="709"/>
        <w:jc w:val="both"/>
      </w:pPr>
      <w:r>
        <w:rPr>
          <w:rFonts w:ascii="Times New Roman" w:cs="Times New Roman" w:eastAsia="Times New Roman" w:hAnsi="Times New Roman"/>
          <w:b w:val="false"/>
          <w:bCs w:val="false"/>
          <w:i w:val="false"/>
          <w:iCs w:val="false"/>
          <w:sz w:val="24"/>
          <w:szCs w:val="24"/>
        </w:rPr>
        <w:t xml:space="preserve">d) implementar a plataforma, contemplando catálogo de produtos, carrinho de compras, </w:t>
      </w:r>
      <w:r>
        <w:rPr>
          <w:rFonts w:ascii="Times New Roman" w:cs="Times New Roman" w:eastAsia="Times New Roman" w:hAnsi="Times New Roman"/>
          <w:b w:val="false"/>
          <w:bCs w:val="false"/>
          <w:i/>
          <w:iCs/>
          <w:sz w:val="24"/>
          <w:szCs w:val="24"/>
        </w:rPr>
        <w:t xml:space="preserve">checkout</w:t>
      </w:r>
      <w:r>
        <w:rPr>
          <w:rFonts w:ascii="Times New Roman" w:cs="Times New Roman" w:eastAsia="Times New Roman" w:hAnsi="Times New Roman"/>
          <w:b w:val="false"/>
          <w:bCs w:val="false"/>
          <w:i w:val="false"/>
          <w:iCs w:val="false"/>
          <w:sz w:val="24"/>
          <w:szCs w:val="24"/>
        </w:rPr>
        <w:t xml:space="preserve"> com pagamento integrado, gestão de pedidos, cupons de desconto, painel administrativo, </w:t>
      </w:r>
      <w:r>
        <w:rPr>
          <w:rFonts w:ascii="Times New Roman" w:cs="Times New Roman" w:eastAsia="Times New Roman" w:hAnsi="Times New Roman"/>
          <w:b w:val="false"/>
          <w:bCs w:val="false"/>
          <w:i/>
          <w:iCs/>
          <w:sz w:val="24"/>
          <w:szCs w:val="24"/>
        </w:rPr>
        <w:t xml:space="preserve">analytics</w:t>
      </w:r>
      <w:r>
        <w:rPr>
          <w:rFonts w:ascii="Times New Roman" w:cs="Times New Roman" w:eastAsia="Times New Roman" w:hAnsi="Times New Roman"/>
          <w:b w:val="false"/>
          <w:bCs w:val="false"/>
          <w:i w:val="false"/>
          <w:iCs w:val="false"/>
          <w:sz w:val="24"/>
          <w:szCs w:val="24"/>
        </w:rPr>
        <w:t xml:space="preserve">, autenticação de usuários e auditoria de segurança;</w:t>
      </w:r>
    </w:p>
    <w:p>
      <w:pPr>
        <w:spacing w:after="0" w:before="0" w:line="360"/>
        <w:ind w:left="709"/>
        <w:jc w:val="both"/>
      </w:pPr>
      <w:r>
        <w:rPr>
          <w:rFonts w:ascii="Times New Roman" w:cs="Times New Roman" w:eastAsia="Times New Roman" w:hAnsi="Times New Roman"/>
          <w:b w:val="false"/>
          <w:bCs w:val="false"/>
          <w:i w:val="false"/>
          <w:iCs w:val="false"/>
          <w:sz w:val="24"/>
          <w:szCs w:val="24"/>
        </w:rPr>
        <w:t xml:space="preserve">e) discutir as tecnologias adotadas e as principais decisões de projeto;</w:t>
      </w:r>
    </w:p>
    <w:p>
      <w:pPr>
        <w:spacing w:after="0" w:before="0" w:line="360"/>
        <w:ind w:left="709"/>
        <w:jc w:val="both"/>
      </w:pPr>
      <w:r>
        <w:rPr>
          <w:rFonts w:ascii="Times New Roman" w:cs="Times New Roman" w:eastAsia="Times New Roman" w:hAnsi="Times New Roman"/>
          <w:b w:val="false"/>
          <w:bCs w:val="false"/>
          <w:i w:val="false"/>
          <w:iCs w:val="false"/>
          <w:sz w:val="24"/>
          <w:szCs w:val="24"/>
        </w:rPr>
        <w:t xml:space="preserve">f) apresentar os resultados obtidos e as limitações da versão implementada.</w:t>
      </w:r>
    </w:p>
    <w:p>
      <w:pPr>
        <w:pStyle w:val="Heading2"/>
        <w:spacing w:after="360" w:before="360" w:line="360"/>
        <w:jc w:val="left"/>
      </w:pPr>
      <w:r>
        <w:rPr>
          <w:rFonts w:ascii="Times New Roman" w:cs="Times New Roman" w:eastAsia="Times New Roman" w:hAnsi="Times New Roman"/>
          <w:b/>
          <w:bCs/>
          <w:i w:val="false"/>
          <w:iCs w:val="false"/>
          <w:sz w:val="24"/>
          <w:szCs w:val="24"/>
        </w:rPr>
        <w:t xml:space="preserve">1.4 Justificativa</w:t>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A relevância social constitui a primeira justificativa do trabalho. Ao oferecer um canal formal de divulgação e venda, a plataforma contribui para a valorização econômica de uma produção intelectual que costuma circular sem reconhecimento, convertendo-a em fonte legítima de renda complementar para uma categoria profissional historicamente afetada pela precarização (OLIVEIRA, 2004). O registro de cada transação, a identificação do autor e a entrega controlada dos arquivos criam, ainda que de modo incipiente, condições mais favoráveis à proteção dos direitos autorais previstos na legislação brasileira (BRASIL, 1998). Beneficiam-se também os professores compradores, que passam a dispor de um acervo pesquisável de materiais elaborados por pares familiarizados com as condições concretas da sala de aula.</w:t>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No plano acadêmico, o tema permanece pouco explorado na produção nacional. Os estudos disponíveis sobre professores que comercializam conteúdos pedagógicos concentram-se em plataformas estrangeiras (SHELTON; ARCHAMBAULT, 2019), o que abre espaço para investigações situadas na realidade brasileira. O trabalho dialoga, ainda, com o campo da economia criativa, que reconhece o conhecimento e a criatividade individuais como ativos capazes de gerar valor econômico (HOWKINS, 2013), e aplica esse referencial a um grupo profissional raramente analisado sob tal ótica.</w:t>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Há, por fim, uma justificativa de ordem tecnológica. O projeto exercita, em um caso real, um conjunto de práticas atuais de engenharia de software: arquitetura </w:t>
      </w:r>
      <w:r>
        <w:rPr>
          <w:rFonts w:ascii="Times New Roman" w:cs="Times New Roman" w:eastAsia="Times New Roman" w:hAnsi="Times New Roman"/>
          <w:b w:val="false"/>
          <w:bCs w:val="false"/>
          <w:i/>
          <w:iCs/>
          <w:sz w:val="24"/>
          <w:szCs w:val="24"/>
        </w:rPr>
        <w:t xml:space="preserve">serverless</w:t>
      </w:r>
      <w:r>
        <w:rPr>
          <w:rFonts w:ascii="Times New Roman" w:cs="Times New Roman" w:eastAsia="Times New Roman" w:hAnsi="Times New Roman"/>
          <w:b w:val="false"/>
          <w:bCs w:val="false"/>
          <w:i w:val="false"/>
          <w:iCs w:val="false"/>
          <w:sz w:val="24"/>
          <w:szCs w:val="24"/>
        </w:rPr>
        <w:t xml:space="preserve"> baseada em funções Node.js, interface construída em React, banco de dados PostgreSQL gerenciado com políticas de segurança em nível de linha, integração com </w:t>
      </w:r>
      <w:r>
        <w:rPr>
          <w:rFonts w:ascii="Times New Roman" w:cs="Times New Roman" w:eastAsia="Times New Roman" w:hAnsi="Times New Roman"/>
          <w:b w:val="false"/>
          <w:bCs w:val="false"/>
          <w:i/>
          <w:iCs/>
          <w:sz w:val="24"/>
          <w:szCs w:val="24"/>
        </w:rPr>
        <w:t xml:space="preserve">gateway</w:t>
      </w:r>
      <w:r>
        <w:rPr>
          <w:rFonts w:ascii="Times New Roman" w:cs="Times New Roman" w:eastAsia="Times New Roman" w:hAnsi="Times New Roman"/>
          <w:b w:val="false"/>
          <w:bCs w:val="false"/>
          <w:i w:val="false"/>
          <w:iCs w:val="false"/>
          <w:sz w:val="24"/>
          <w:szCs w:val="24"/>
        </w:rPr>
        <w:t xml:space="preserve"> de pagamento e mecanismos de conformidade com a Lei Geral de Proteção de Dados (BRASIL, 2018a). A documentação dessas decisões e de seus efeitos práticos pode servir de referência para outros projetos de conclusão de curso e para desenvolvedores que enfrentem requisitos semelhantes.</w:t>
      </w:r>
    </w:p>
    <w:p>
      <w:pPr>
        <w:pStyle w:val="Heading2"/>
        <w:spacing w:after="360" w:before="360" w:line="360"/>
        <w:jc w:val="left"/>
      </w:pPr>
      <w:r>
        <w:rPr>
          <w:rFonts w:ascii="Times New Roman" w:cs="Times New Roman" w:eastAsia="Times New Roman" w:hAnsi="Times New Roman"/>
          <w:b/>
          <w:bCs/>
          <w:i w:val="false"/>
          <w:iCs w:val="false"/>
          <w:sz w:val="24"/>
          <w:szCs w:val="24"/>
        </w:rPr>
        <w:t xml:space="preserve">1.5 Estrutura do trabalho</w:t>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Além desta introdução, o trabalho organiza-se em cinco seções. A seção 2 apresenta a fundamentação teórica, articulando o trabalho docente e a produção de materiais autorais, a economia criativa, o comércio eletrônico e as plataformas digitais, bem como os aspectos legais relativos a direitos autorais e à proteção de dados. A seção 3 descreve a metodologia adotada, caracterizando a natureza aplicada da pesquisa e as etapas de desenvolvimento da solução. A seção 4 detalha o desenvolvimento da plataforma, dos requisitos funcionais e não funcionais à implementação, passando pela modelagem da arquitetura e do banco de dados. A seção 5 discute os resultados alcançados, as decisões de projeto e as limitações identificadas. Por fim, a seção 6 reúne as considerações finais e indica os trabalhos futuros, entre os quais a evolução para um </w:t>
      </w:r>
      <w:r>
        <w:rPr>
          <w:rFonts w:ascii="Times New Roman" w:cs="Times New Roman" w:eastAsia="Times New Roman" w:hAnsi="Times New Roman"/>
          <w:b w:val="false"/>
          <w:bCs w:val="false"/>
          <w:i/>
          <w:iCs/>
          <w:sz w:val="24"/>
          <w:szCs w:val="24"/>
        </w:rPr>
        <w:t xml:space="preserve">marketplace</w:t>
      </w:r>
      <w:r>
        <w:rPr>
          <w:rFonts w:ascii="Times New Roman" w:cs="Times New Roman" w:eastAsia="Times New Roman" w:hAnsi="Times New Roman"/>
          <w:b w:val="false"/>
          <w:bCs w:val="false"/>
          <w:i w:val="false"/>
          <w:iCs w:val="false"/>
          <w:sz w:val="24"/>
          <w:szCs w:val="24"/>
        </w:rPr>
        <w:t xml:space="preserve"> multivendedor.</w:t>
      </w:r>
    </w:p>
    <w:p>
      <w:pPr>
        <w:pStyle w:val="Heading1"/>
        <w:pageBreakBefore/>
        <w:spacing w:after="360" w:before="0" w:line="360"/>
        <w:jc w:val="left"/>
      </w:pPr>
      <w:r>
        <w:rPr>
          <w:rFonts w:ascii="Times New Roman" w:cs="Times New Roman" w:eastAsia="Times New Roman" w:hAnsi="Times New Roman"/>
          <w:b/>
          <w:bCs/>
          <w:i w:val="false"/>
          <w:iCs w:val="false"/>
          <w:sz w:val="24"/>
          <w:szCs w:val="24"/>
        </w:rPr>
        <w:t xml:space="preserve">2 FUNDAMENTAÇÃO TEÓRICA</w:t>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Este capítulo reúne os fundamentos teóricos que sustentam a concepção e o desenvolvimento do Ateliê Escolar, organizados em seis eixos complementares. Parte-se do trabalho docente, examinado sob a ótica dos saberes profissionais, das condições de exercício da profissão e da autonomia do professor, para em seguida discutir a economia criativa e a inserção do docente como autor de conteúdo em mercados digitais. Abordam-se, na sequência, as tecnologias digitais na educação e o lugar que os materiais didáticos autorais ocupam nesse contexto, bem como o </w:t>
      </w:r>
      <w:r>
        <w:rPr>
          <w:rFonts w:ascii="Times New Roman" w:cs="Times New Roman" w:eastAsia="Times New Roman" w:hAnsi="Times New Roman"/>
          <w:b w:val="false"/>
          <w:bCs w:val="false"/>
          <w:i/>
          <w:iCs/>
          <w:sz w:val="24"/>
          <w:szCs w:val="24"/>
        </w:rPr>
        <w:t xml:space="preserve">e-commerce</w:t>
      </w:r>
      <w:r>
        <w:rPr>
          <w:rFonts w:ascii="Times New Roman" w:cs="Times New Roman" w:eastAsia="Times New Roman" w:hAnsi="Times New Roman"/>
          <w:b w:val="false"/>
          <w:bCs w:val="false"/>
          <w:i w:val="false"/>
          <w:iCs w:val="false"/>
          <w:sz w:val="24"/>
          <w:szCs w:val="24"/>
        </w:rPr>
        <w:t xml:space="preserve"> e a lógica das plataformas digitais de intermediação. Encerram o capítulo os marcos legais incidentes sobre a solução, em especial o direito autoral e a proteção de dados pessoais, e a caracterização das tecnologias e dos princípios de engenharia de software que orientaram a implementação da plataforma.</w:t>
      </w:r>
    </w:p>
    <w:p>
      <w:pPr>
        <w:pStyle w:val="Heading2"/>
        <w:spacing w:after="360" w:before="360" w:line="360"/>
        <w:jc w:val="left"/>
      </w:pPr>
      <w:r>
        <w:rPr>
          <w:rFonts w:ascii="Times New Roman" w:cs="Times New Roman" w:eastAsia="Times New Roman" w:hAnsi="Times New Roman"/>
          <w:b/>
          <w:bCs/>
          <w:i w:val="false"/>
          <w:iCs w:val="false"/>
          <w:sz w:val="24"/>
          <w:szCs w:val="24"/>
        </w:rPr>
        <w:t xml:space="preserve">2.1 Trabalho docente, valorização e autonomia do professor</w:t>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A compreensão do problema investigado exige situar, antes de tudo, a natureza do trabalho do professor. Tardif (2014) sustenta que a prática docente mobiliza um repertório plural de saberes, de origem disciplinar, curricular, profissional e, sobretudo, experiencial, construídos e validados no cotidiano da sala de aula. O professor não se limita, portanto, a transmitir conhecimentos elaborados por terceiros: produz saber próprio, ajustado às condições concretas de seus alunos. Esse saber experiencial ganha forma visível nos planos de aula, nas atividades, nos jogos pedagógicos e nos instrumentos de avaliação que ele elabora. Sob essa perspectiva, o material didático autoral constitui menos um subproduto da docência do que uma de suas expressões intelectuais mais acabadas.</w:t>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Essa dimensão produtiva convive, entretanto, com um déficit histórico de reconhecimento. Nóvoa (2017) argumenta que a afirmação da profissão docente depende da consolidação de uma posição própria do professorado, capaz de articular formação, conhecimento profissional e presença pública, em contraste com discursos que reduzem o professor a executor de prescrições elaboradas fora da escola. No caso brasileiro, Gatti (2010) identifica fragilidades estruturais na formação inicial, marcada pela dispersão curricular e pelo distanciamento entre teoria e prática. Tais fragilidades repercutem na baixa atratividade da carreira e na desvalorização social do magistério, fatores que se reforçam mutuamente ao longo da trajetória profissional.</w:t>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As condições objetivas de trabalho agravam esse quadro. Oliveira (2004) descreve a reestruturação do trabalho docente promovida pelas reformas educacionais das últimas décadas, processo que ampliou atribuições e responsabilidades do professor sem contrapartida salarial proporcional, configurando precarização e flexibilização das relações de trabalho na escola. Diante de vencimentos pouco competitivos, parcela expressiva dos professores da educação básica recorre a jornadas estendidas, a múltiplos vínculos empregatícios ou a atividades complementares de renda. Em chave mais ampla, Saviani (2007) lembra que trabalho e educação são dimensões ontologicamente articuladas da atividade humana, de modo que o ato de ensinar é, ele próprio, trabalho produtor de valor, o que torna problemática a apropriação de seus resultados sem a correspondente remuneração.</w:t>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É nesse quadro que a produção de materiais didáticos autorais adquire duplo significado. De um lado, representa exercício de autonomia pedagógica: ao criar recursos ajustados à realidade de sua turma, o professor reinterpreta o currículo e afirma seu juízo profissional, em vez de aplicar mecanicamente apostilas padronizadas. De outro, configura possibilidade concreta de renda complementar. Shelton e Archambault (2019) documentam o fenômeno dos chamados </w:t>
      </w:r>
      <w:r>
        <w:rPr>
          <w:rFonts w:ascii="Times New Roman" w:cs="Times New Roman" w:eastAsia="Times New Roman" w:hAnsi="Times New Roman"/>
          <w:b w:val="false"/>
          <w:bCs w:val="false"/>
          <w:i/>
          <w:iCs/>
          <w:sz w:val="24"/>
          <w:szCs w:val="24"/>
        </w:rPr>
        <w:t xml:space="preserve">teacherpreneurs</w:t>
      </w:r>
      <w:r>
        <w:rPr>
          <w:rFonts w:ascii="Times New Roman" w:cs="Times New Roman" w:eastAsia="Times New Roman" w:hAnsi="Times New Roman"/>
          <w:b w:val="false"/>
          <w:bCs w:val="false"/>
          <w:i w:val="false"/>
          <w:iCs w:val="false"/>
          <w:sz w:val="24"/>
          <w:szCs w:val="24"/>
        </w:rPr>
        <w:t xml:space="preserve">, professores que comercializam recursos educacionais em plataformas especializadas e que relatam, para além dos ganhos financeiros, reconhecimento entre pares e desenvolvimento profissional decorrente da prática autoral. A monetização desse trabalho, com efeito, não se opõe à sua dimensão pedagógica; antes, parece reforçá-la.</w:t>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No contexto brasileiro, contudo, essa circulação ocorre majoritariamente por canais informais, como grupos de mensagens, redes sociais, repositórios improvisados de arquivos e pagamentos sem qualquer garantia, o que fragiliza o autor em três frentes. O trabalho intelectual circula sem reconhecimento formal de autoria; a remuneração, quando existe, fica aquém do valor pedagógico do material; e a descoberta de bons recursos por outros educadores depende do acaso das redes pessoais. Dado que o saber experiencial do professor possui valor social e econômico reconhecido pela literatura, a ausência de uma infraestrutura adequada de divulgação e comercialização configura o problema central deste trabalho, ao qual o Ateliê Escolar procura responder.</w:t>
      </w:r>
    </w:p>
    <w:p>
      <w:pPr>
        <w:pStyle w:val="Heading2"/>
        <w:spacing w:after="360" w:before="360" w:line="360"/>
        <w:jc w:val="left"/>
      </w:pPr>
      <w:r>
        <w:rPr>
          <w:rFonts w:ascii="Times New Roman" w:cs="Times New Roman" w:eastAsia="Times New Roman" w:hAnsi="Times New Roman"/>
          <w:b/>
          <w:bCs/>
          <w:i w:val="false"/>
          <w:iCs w:val="false"/>
          <w:sz w:val="24"/>
          <w:szCs w:val="24"/>
        </w:rPr>
        <w:t xml:space="preserve">2.2 Economia criativa e economia dos criadores aplicada à educação</w:t>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A expressão economia criativa designa o conjunto de atividades econômicas cujo insumo central é a criatividade humana e cujos produtos incorporam valor simbólico passível de proteção por direitos de propriedade intelectual. Howkins (2013) sustenta que, nesse arranjo, as ideias se convertem no principal ativo das trocas econômicas, de modo que indivíduos capazes de transformar repertório intelectual em bens negociáveis passam a ocupar posição antes reservada aos detentores de capital físico. Em direção convergente, Florida (2011) descreve a ascensão de uma classe criativa cuja função econômica consiste em produzir novas formas, conteúdos e significados, e cuja expansão vem redefinindo as relações de trabalho contemporâneas. O fenômeno deixou de ser marginal: o comércio internacional de bens e serviços criativos apresenta crescimento sustentado, com participação cada vez maior dos conteúdos distribuídos em formato digital (UNCTAD, 2024).</w:t>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O trabalho docente guarda afinidade evidente com essa categoria. Os saberes mobilizados pelo professor não se reduzem à transmissão de conteúdos prontos: envolvem a produção contínua de planos de aula, atividades, jogos pedagógicos e instrumentos de avaliação, artefatos que dão forma material a um repertório profissional plural, construído tanto na formação quanto na experiência cotidiana de sala de aula (TARDIF, 2014). Quando registrados e organizados, esses produtos tornam-se obras intelectuais em sentido próprio, suscetíveis de circulação e de valoração econômica. Em um contexto de remuneração insuficiente e de intensificação das tarefas docentes (OLIVEIRA, 2004), a comercialização desses materiais desponta como alternativa legítima de renda complementar, ancorada justamente naquilo que o professor já produz como parte de seu ofício, sem exigir reconversão profissional nem abandono da docência.</w:t>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A distribuição digital alterou de modo decisivo as condições de circulação desses bens. Anderson (2006) demonstra que, quando os custos de estoque e de distribuição tendem a zero, torna-se viável atender a uma multiplicidade de nichos cuja demanda individual jamais sustentaria canais convencionais de varejo, dinâmica que o autor denominou cauda longa. Materiais didáticos autorais constituem exemplo típico desse tipo de mercado: uma sequência didática de alfabetização pensada para turmas multisseriadas, por exemplo, interessa a um público restrito e geograficamente disperso, mas encontra compradores quando a oferta se torna localizável. Parker, Van Alstyne e Choudary (2020) acrescentam que as plataformas digitais cumprem o papel de intermediárias que reduzem custos de busca e de transação, conectam produtores e consumidores antes invisíveis uns aos outros e se beneficiam de efeitos de rede, nos quais o valor do serviço cresce à medida que aumenta o número de participantes. Desse modo, a viabilidade econômica de um nicho deixa de depender da escala local e passa a apoiar-se na agregação de demandas dispersas.</w:t>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Da convergência entre essas duas lógicas emergiu, no contexto internacional, o fenômeno dos </w:t>
      </w:r>
      <w:r>
        <w:rPr>
          <w:rFonts w:ascii="Times New Roman" w:cs="Times New Roman" w:eastAsia="Times New Roman" w:hAnsi="Times New Roman"/>
          <w:b w:val="false"/>
          <w:bCs w:val="false"/>
          <w:i/>
          <w:iCs/>
          <w:sz w:val="24"/>
          <w:szCs w:val="24"/>
        </w:rPr>
        <w:t xml:space="preserve">teacherpreneurs</w:t>
      </w:r>
      <w:r>
        <w:rPr>
          <w:rFonts w:ascii="Times New Roman" w:cs="Times New Roman" w:eastAsia="Times New Roman" w:hAnsi="Times New Roman"/>
          <w:b w:val="false"/>
          <w:bCs w:val="false"/>
          <w:i w:val="false"/>
          <w:iCs w:val="false"/>
          <w:sz w:val="24"/>
          <w:szCs w:val="24"/>
        </w:rPr>
        <w:t xml:space="preserve">: professores que comercializam recursos pedagógicos de autoria própria para outros docentes por meio de plataformas especializadas. O caso mais expressivo é o da norte-americana Teachers Pay Teachers, que estruturou um </w:t>
      </w:r>
      <w:r>
        <w:rPr>
          <w:rFonts w:ascii="Times New Roman" w:cs="Times New Roman" w:eastAsia="Times New Roman" w:hAnsi="Times New Roman"/>
          <w:b w:val="false"/>
          <w:bCs w:val="false"/>
          <w:i/>
          <w:iCs/>
          <w:sz w:val="24"/>
          <w:szCs w:val="24"/>
        </w:rPr>
        <w:t xml:space="preserve">marketplace</w:t>
      </w:r>
      <w:r>
        <w:rPr>
          <w:rFonts w:ascii="Times New Roman" w:cs="Times New Roman" w:eastAsia="Times New Roman" w:hAnsi="Times New Roman"/>
          <w:b w:val="false"/>
          <w:bCs w:val="false"/>
          <w:i w:val="false"/>
          <w:iCs w:val="false"/>
          <w:sz w:val="24"/>
          <w:szCs w:val="24"/>
        </w:rPr>
        <w:t xml:space="preserve"> dedicado exclusivamente a esse segmento. Shelton e Archambault (2019) investigaram os criadores de conteúdo mais ativos dessa plataforma e verificaram que se trata, em geral, de docentes em exercício ou com longa experiência de sala de aula, que convertem produções derivadas da própria prática em fonte de renda complementar e, em determinados casos, em atividade principal. O estudo indica ainda que a motivação desses profissionais combina o ganho financeiro com o desejo de reconhecimento e de colaboração entre pares, o que aproxima a venda de materiais de uma forma de afirmação profissional, e não de mera transação comercial.</w:t>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No Brasil, entretanto, experiência equivalente ainda não se consolidou. O mapeamento do ecossistema de </w:t>
      </w:r>
      <w:r>
        <w:rPr>
          <w:rFonts w:ascii="Times New Roman" w:cs="Times New Roman" w:eastAsia="Times New Roman" w:hAnsi="Times New Roman"/>
          <w:b w:val="false"/>
          <w:bCs w:val="false"/>
          <w:i/>
          <w:iCs/>
          <w:sz w:val="24"/>
          <w:szCs w:val="24"/>
        </w:rPr>
        <w:t xml:space="preserve">edtechs</w:t>
      </w:r>
      <w:r>
        <w:rPr>
          <w:rFonts w:ascii="Times New Roman" w:cs="Times New Roman" w:eastAsia="Times New Roman" w:hAnsi="Times New Roman"/>
          <w:b w:val="false"/>
          <w:bCs w:val="false"/>
          <w:i w:val="false"/>
          <w:iCs w:val="false"/>
          <w:sz w:val="24"/>
          <w:szCs w:val="24"/>
        </w:rPr>
        <w:t xml:space="preserve"> brasileiras revela um setor em expansão, porém concentrado em soluções de gestão escolar, sistemas de ensino e conteúdos produzidos institucionalmente, sem registrar plataforma de referência voltada à comercialização de materiais entre os próprios professores (CIEB; ABSTARTUPS, 2021). Na ausência de um espaço estruturado, a venda desses recursos ocorre por canais informais e fragmentados, como grupos de mensagens, perfis em redes sociais e repositórios compartilhados, com frequência sem contrato, sem comprovante de transação e sem qualquer mecanismo de proteção autoral. Disso resultam a subvalorização do trabalho do professor autor e a dificuldade de localização de bons materiais por outros educadores, além da insegurança que atinge ambas as partes do negócio. É essa lacuna que o Ateliê Escolar busca enfrentar, ao transpor para a educação básica brasileira a lógica das plataformas de criadores e oferecer aos professores da educação básica um canal formal de divulgação, pagamento e entrega digital de materiais didáticos autorais.</w:t>
      </w:r>
    </w:p>
    <w:p>
      <w:pPr>
        <w:pStyle w:val="Heading2"/>
        <w:spacing w:after="360" w:before="360" w:line="360"/>
        <w:jc w:val="left"/>
      </w:pPr>
      <w:r>
        <w:rPr>
          <w:rFonts w:ascii="Times New Roman" w:cs="Times New Roman" w:eastAsia="Times New Roman" w:hAnsi="Times New Roman"/>
          <w:b/>
          <w:bCs/>
          <w:i w:val="false"/>
          <w:iCs w:val="false"/>
          <w:sz w:val="24"/>
          <w:szCs w:val="24"/>
        </w:rPr>
        <w:t xml:space="preserve">2.3 Tecnologias educacionais (EdTech) no Brasil</w:t>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A reflexão sobre o lugar das tecnologias digitais na educação consolidou-se no campo acadêmico brasileiro antes mesmo da expansão recente das </w:t>
      </w:r>
      <w:r>
        <w:rPr>
          <w:rFonts w:ascii="Times New Roman" w:cs="Times New Roman" w:eastAsia="Times New Roman" w:hAnsi="Times New Roman"/>
          <w:b w:val="false"/>
          <w:bCs w:val="false"/>
          <w:i/>
          <w:iCs/>
          <w:sz w:val="24"/>
          <w:szCs w:val="24"/>
        </w:rPr>
        <w:t xml:space="preserve">startups</w:t>
      </w:r>
      <w:r>
        <w:rPr>
          <w:rFonts w:ascii="Times New Roman" w:cs="Times New Roman" w:eastAsia="Times New Roman" w:hAnsi="Times New Roman"/>
          <w:b w:val="false"/>
          <w:bCs w:val="false"/>
          <w:i w:val="false"/>
          <w:iCs w:val="false"/>
          <w:sz w:val="24"/>
          <w:szCs w:val="24"/>
        </w:rPr>
        <w:t xml:space="preserve"> do setor. Kenski (2003) sustenta que as tecnologias de informação e comunicação imprimem novo ritmo à circulação do conhecimento e reconfiguram os tempos e os espaços do ensinar e do aprender, o que exige da escola formas de organização distintas daquelas que caracterizaram o modelo presencial tradicional. Em direção semelhante, Moran, Masetto e Behrens (2013) argumentam que o valor pedagógico da tecnologia não reside no artefato em si, mas na mediação construída em torno dele, de modo que a inovação técnica desacompanhada de intencionalidade didática tende a reproduzir práticas antigas com instrumentos novos. Valente (2014), ao discutir o ensino híbrido e a sala de aula invertida, mostra que os recursos digitais podem deslocar a transmissão de conteúdo para fora do encontro presencial, liberando o tempo de aula para atividades de aplicação, discussão e produção.</w:t>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Essa elaboração teórica encontra respaldo empírico nos levantamentos periódicos sobre o uso de tecnologia nas escolas brasileiras. A pesquisa TIC Educação 2023 indica que a presença de dispositivos conectados e o uso pedagógico da internet se tornaram correntes na rotina docente, ainda que persistam desigualdades acentuadas de infraestrutura entre redes de ensino e entre regiões do país (CGI.BR, 2024). O mesmo levantamento evidencia que os professores recorrem com frequência à internet para pesquisar, adaptar e produzir os conteúdos utilizados em suas aulas, o que sugere a existência de um circuito de criação e circulação de materiais didáticos digitais anterior a qualquer plataforma especializada. Dado que essa produção já ocorre em escala considerável, a questão central deixa de ser a adesão docente à tecnologia e passa a ser a qualidade dos canais disponíveis para organizar, distribuir e, eventualmente, remunerar esse trabalho.</w:t>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É nesse contexto que se estrutura o ecossistema brasileiro de tecnologias educacionais, usualmente designado pelo termo </w:t>
      </w:r>
      <w:r>
        <w:rPr>
          <w:rFonts w:ascii="Times New Roman" w:cs="Times New Roman" w:eastAsia="Times New Roman" w:hAnsi="Times New Roman"/>
          <w:b w:val="false"/>
          <w:bCs w:val="false"/>
          <w:i/>
          <w:iCs/>
          <w:sz w:val="24"/>
          <w:szCs w:val="24"/>
        </w:rPr>
        <w:t xml:space="preserve">EdTech</w:t>
      </w:r>
      <w:r>
        <w:rPr>
          <w:rFonts w:ascii="Times New Roman" w:cs="Times New Roman" w:eastAsia="Times New Roman" w:hAnsi="Times New Roman"/>
          <w:b w:val="false"/>
          <w:bCs w:val="false"/>
          <w:i w:val="false"/>
          <w:iCs w:val="false"/>
          <w:sz w:val="24"/>
          <w:szCs w:val="24"/>
        </w:rPr>
        <w:t xml:space="preserve">. O Mapeamento Edtech, conduzido pelo Centro de Inovação para a Educação Brasileira em parceria com a Abstartups, registrou crescimento contínuo do número de empresas do segmento no país e propôs uma categorização das soluções ofertadas, concentradas, em sua maioria, em ferramentas de gestão escolar e administrativa e em plataformas de conteúdo e de apoio à aprendizagem dirigidas aos alunos (CIEB; ABSTARTUPS, 2021). Essa distribuição é compreensível do ponto de vista comercial: escolas e redes de ensino constituem compradores institucionais com orçamento definido, ao passo que o professor, considerado individualmente, representa um cliente de menor poder aquisitivo e de alcance mais difícil para as empresas do setor.</w:t>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Tal configuração, entretanto, produz uma lacuna relevante. O professor aparece no ecossistema quase sempre como usuário ou destinatário de soluções concebidas por terceiros, raramente como autor cuja produção intelectual mereça infraestrutura própria de divulgação e venda. Experiências internacionais demonstram que esse posicionamento não é inevitável. Shelton e Archambault (2019), ao investigarem os criadores de conteúdo de uma grande plataforma norte-americana de venda de recursos educacionais, descrevem a emergência dos chamados </w:t>
      </w:r>
      <w:r>
        <w:rPr>
          <w:rFonts w:ascii="Times New Roman" w:cs="Times New Roman" w:eastAsia="Times New Roman" w:hAnsi="Times New Roman"/>
          <w:b w:val="false"/>
          <w:bCs w:val="false"/>
          <w:i/>
          <w:iCs/>
          <w:sz w:val="24"/>
          <w:szCs w:val="24"/>
        </w:rPr>
        <w:t xml:space="preserve">teacherpreneurs</w:t>
      </w:r>
      <w:r>
        <w:rPr>
          <w:rFonts w:ascii="Times New Roman" w:cs="Times New Roman" w:eastAsia="Times New Roman" w:hAnsi="Times New Roman"/>
          <w:b w:val="false"/>
          <w:bCs w:val="false"/>
          <w:i w:val="false"/>
          <w:iCs w:val="false"/>
          <w:sz w:val="24"/>
          <w:szCs w:val="24"/>
        </w:rPr>
        <w:t xml:space="preserve">: docentes que transformam materiais elaborados para as próprias turmas em produtos digitais comercializados para outros professores, obtendo renda complementar e reconhecimento profissional pela autoria. O fenômeno indica que, havendo infraestrutura adequada de publicação, pagamento e reputação, a produção docente encontra demanda consistente entre os próprios pares.</w:t>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No Brasil, contudo, não se consolidou iniciativa de porte comparável, e a comercialização de materiais didáticos autorais permanece dispersa em redes sociais, aplicativos de mensagem e transferências diretas entre as partes, sem garantias formais para quem vende nem para quem compra. Com efeito, a distância entre um ecossistema de EdTechs em expansão e a escassez de soluções voltadas à monetização da produção docente delimita o espaço de contribuição do Ateliê Escolar. A plataforma toma o professor da educação básica não como consumidor de tecnologia, mas como produtor de conteúdo cujo trabalho pode ser formalizado e valorizado por meio do </w:t>
      </w:r>
      <w:r>
        <w:rPr>
          <w:rFonts w:ascii="Times New Roman" w:cs="Times New Roman" w:eastAsia="Times New Roman" w:hAnsi="Times New Roman"/>
          <w:b w:val="false"/>
          <w:bCs w:val="false"/>
          <w:i/>
          <w:iCs/>
          <w:sz w:val="24"/>
          <w:szCs w:val="24"/>
        </w:rPr>
        <w:t xml:space="preserve">e-commerce</w:t>
      </w:r>
      <w:r>
        <w:rPr>
          <w:rFonts w:ascii="Times New Roman" w:cs="Times New Roman" w:eastAsia="Times New Roman" w:hAnsi="Times New Roman"/>
          <w:b w:val="false"/>
          <w:bCs w:val="false"/>
          <w:i w:val="false"/>
          <w:iCs w:val="false"/>
          <w:sz w:val="24"/>
          <w:szCs w:val="24"/>
        </w:rPr>
        <w:t xml:space="preserve"> especializado, deslocando para um ambiente estruturado uma prática que hoje sobrevive na informalidade.</w:t>
      </w:r>
    </w:p>
    <w:p>
      <w:pPr>
        <w:pStyle w:val="Heading2"/>
        <w:spacing w:after="360" w:before="360" w:line="360"/>
        <w:jc w:val="left"/>
      </w:pPr>
      <w:r>
        <w:rPr>
          <w:rFonts w:ascii="Times New Roman" w:cs="Times New Roman" w:eastAsia="Times New Roman" w:hAnsi="Times New Roman"/>
          <w:b/>
          <w:bCs/>
          <w:i w:val="false"/>
          <w:iCs w:val="false"/>
          <w:sz w:val="24"/>
          <w:szCs w:val="24"/>
        </w:rPr>
        <w:t xml:space="preserve">2.4 Comércio eletrônico e </w:t>
      </w:r>
      <w:r>
        <w:rPr>
          <w:rFonts w:ascii="Times New Roman" w:cs="Times New Roman" w:eastAsia="Times New Roman" w:hAnsi="Times New Roman"/>
          <w:b/>
          <w:bCs/>
          <w:i/>
          <w:iCs/>
          <w:sz w:val="24"/>
          <w:szCs w:val="24"/>
        </w:rPr>
        <w:t xml:space="preserve">marketplaces</w:t>
      </w:r>
      <w:r>
        <w:rPr>
          <w:rFonts w:ascii="Times New Roman" w:cs="Times New Roman" w:eastAsia="Times New Roman" w:hAnsi="Times New Roman"/>
          <w:b/>
          <w:bCs/>
          <w:i w:val="false"/>
          <w:iCs w:val="false"/>
          <w:sz w:val="24"/>
          <w:szCs w:val="24"/>
        </w:rPr>
        <w:t xml:space="preserve"> digitais</w:t>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O comércio eletrônico, ou </w:t>
      </w:r>
      <w:r>
        <w:rPr>
          <w:rFonts w:ascii="Times New Roman" w:cs="Times New Roman" w:eastAsia="Times New Roman" w:hAnsi="Times New Roman"/>
          <w:b w:val="false"/>
          <w:bCs w:val="false"/>
          <w:i/>
          <w:iCs/>
          <w:sz w:val="24"/>
          <w:szCs w:val="24"/>
        </w:rPr>
        <w:t xml:space="preserve">e-commerce</w:t>
      </w:r>
      <w:r>
        <w:rPr>
          <w:rFonts w:ascii="Times New Roman" w:cs="Times New Roman" w:eastAsia="Times New Roman" w:hAnsi="Times New Roman"/>
          <w:b w:val="false"/>
          <w:bCs w:val="false"/>
          <w:i w:val="false"/>
          <w:iCs w:val="false"/>
          <w:sz w:val="24"/>
          <w:szCs w:val="24"/>
        </w:rPr>
        <w:t xml:space="preserve">, pode ser definido como a realização de transações de negócio apoiada em aplicações de tecnologia da informação, o que inclui não apenas o ato de compra e venda, mas também a divulgação de produtos, o atendimento ao cliente e a integração entre os elos da cadeia comercial (ALBERTIN, 2010). Laudon e Traver (2023) acrescentam que o fenômeno articula três dimensões indissociáveis: a tecnológica, relativa à infraestrutura que sustenta as transações; a empresarial, ligada aos modelos de negócio que lhes conferem viabilidade econômica; e a social, que envolve confiança, privacidade e regulação. Essa leitura interessa diretamente ao presente trabalho, dado que a comercialização de materiais didáticos autorais reúne, ao mesmo tempo, um problema técnico, um arranjo econômico e uma relação de credibilidade entre educadores.</w:t>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Quanto aos modelos, a literatura distingue, entre outras configurações, o comércio </w:t>
      </w:r>
      <w:r>
        <w:rPr>
          <w:rFonts w:ascii="Times New Roman" w:cs="Times New Roman" w:eastAsia="Times New Roman" w:hAnsi="Times New Roman"/>
          <w:b w:val="false"/>
          <w:bCs w:val="false"/>
          <w:i/>
          <w:iCs/>
          <w:sz w:val="24"/>
          <w:szCs w:val="24"/>
        </w:rPr>
        <w:t xml:space="preserve">business-to-consumer</w:t>
      </w:r>
      <w:r>
        <w:rPr>
          <w:rFonts w:ascii="Times New Roman" w:cs="Times New Roman" w:eastAsia="Times New Roman" w:hAnsi="Times New Roman"/>
          <w:b w:val="false"/>
          <w:bCs w:val="false"/>
          <w:i w:val="false"/>
          <w:iCs w:val="false"/>
          <w:sz w:val="24"/>
          <w:szCs w:val="24"/>
        </w:rPr>
        <w:t xml:space="preserve"> (B2C), no qual uma organização vende diretamente ao consumidor final, e o </w:t>
      </w:r>
      <w:r>
        <w:rPr>
          <w:rFonts w:ascii="Times New Roman" w:cs="Times New Roman" w:eastAsia="Times New Roman" w:hAnsi="Times New Roman"/>
          <w:b w:val="false"/>
          <w:bCs w:val="false"/>
          <w:i/>
          <w:iCs/>
          <w:sz w:val="24"/>
          <w:szCs w:val="24"/>
        </w:rPr>
        <w:t xml:space="preserve">consumer-to-consumer</w:t>
      </w:r>
      <w:r>
        <w:rPr>
          <w:rFonts w:ascii="Times New Roman" w:cs="Times New Roman" w:eastAsia="Times New Roman" w:hAnsi="Times New Roman"/>
          <w:b w:val="false"/>
          <w:bCs w:val="false"/>
          <w:i w:val="false"/>
          <w:iCs w:val="false"/>
          <w:sz w:val="24"/>
          <w:szCs w:val="24"/>
        </w:rPr>
        <w:t xml:space="preserve"> (C2C), em que pessoas físicas negociam entre si com a mediação de um intermediário tecnológico (TURBAN et al., 2018). A venda de materiais didáticos por professores ocupa uma zona de fronteira entre essas categorias. O autor atua como produtor individual, à maneira do C2C, mas a relação com o comprador assume contornos típicos do B2C, com catálogo estruturado, preços definidos e atendimento pós-venda. Essa ambiguidade explica, em parte, por que os canais informais descritos no início deste capítulo se mostram insuficientes para profissionalizar a atividade.</w:t>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As plataformas digitais constituem o arranjo que confere escala a esses modelos. Parker, Van Alstyne e Choudary (2020) as caracterizam como negócios fundados na facilitação de interações entre produtores e consumidores externos, cujo valor cresce por efeitos de rede: quanto mais participantes ingressam em um dos lados, mais atrativa a plataforma se torna para o outro. Anderson (2006), por sua vez, demonstra que os canais digitais reduzem os custos de exposição e de estoque, o que torna rentável a oferta de itens de nicho que dificilmente encontrariam espaço no varejo de massa, situação típica de materiais voltados a séries, componentes curriculares e contextos escolares específicos. A consolidação de </w:t>
      </w:r>
      <w:r>
        <w:rPr>
          <w:rFonts w:ascii="Times New Roman" w:cs="Times New Roman" w:eastAsia="Times New Roman" w:hAnsi="Times New Roman"/>
          <w:b w:val="false"/>
          <w:bCs w:val="false"/>
          <w:i/>
          <w:iCs/>
          <w:sz w:val="24"/>
          <w:szCs w:val="24"/>
        </w:rPr>
        <w:t xml:space="preserve">marketplaces</w:t>
      </w:r>
      <w:r>
        <w:rPr>
          <w:rFonts w:ascii="Times New Roman" w:cs="Times New Roman" w:eastAsia="Times New Roman" w:hAnsi="Times New Roman"/>
          <w:b w:val="false"/>
          <w:bCs w:val="false"/>
          <w:i w:val="false"/>
          <w:iCs w:val="false"/>
          <w:sz w:val="24"/>
          <w:szCs w:val="24"/>
        </w:rPr>
        <w:t xml:space="preserve"> internacionais de recursos pedagógicos produzidos por docentes, examinados por Shelton e Archambault (2019), indica que essa lógica de cauda longa encontra aderência particular no campo educacional.</w:t>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Convém diferenciar a loja virtual própria do </w:t>
      </w:r>
      <w:r>
        <w:rPr>
          <w:rFonts w:ascii="Times New Roman" w:cs="Times New Roman" w:eastAsia="Times New Roman" w:hAnsi="Times New Roman"/>
          <w:b w:val="false"/>
          <w:bCs w:val="false"/>
          <w:i/>
          <w:iCs/>
          <w:sz w:val="24"/>
          <w:szCs w:val="24"/>
        </w:rPr>
        <w:t xml:space="preserve">marketplace</w:t>
      </w:r>
      <w:r>
        <w:rPr>
          <w:rFonts w:ascii="Times New Roman" w:cs="Times New Roman" w:eastAsia="Times New Roman" w:hAnsi="Times New Roman"/>
          <w:b w:val="false"/>
          <w:bCs w:val="false"/>
          <w:i w:val="false"/>
          <w:iCs w:val="false"/>
          <w:sz w:val="24"/>
          <w:szCs w:val="24"/>
        </w:rPr>
        <w:t xml:space="preserve">. Na primeira, o vendedor controla a marca, o catálogo, os dados dos clientes e as regras comerciais, porém assume integralmente o ônus de atrair audiência e de manter a operação em funcionamento; no segundo, um operador central agrega múltiplos vendedores e oferece tráfego compartilhado, reputação consolidada e serviços prontos de pagamento e entrega, em troca de comissões e de menor autonomia sobre a experiência de venda (TURBAN et al., 2018; PARKER; VAN ALSTYNE; CHOUDARY, 2020). Essa distinção fundamenta uma decisão de projeto discutida no capítulo 4: começar pela loja única de um professor autor, com governança simplificada, e reservar a evolução para </w:t>
      </w:r>
      <w:r>
        <w:rPr>
          <w:rFonts w:ascii="Times New Roman" w:cs="Times New Roman" w:eastAsia="Times New Roman" w:hAnsi="Times New Roman"/>
          <w:b w:val="false"/>
          <w:bCs w:val="false"/>
          <w:i/>
          <w:iCs/>
          <w:sz w:val="24"/>
          <w:szCs w:val="24"/>
        </w:rPr>
        <w:t xml:space="preserve">marketplace</w:t>
      </w:r>
      <w:r>
        <w:rPr>
          <w:rFonts w:ascii="Times New Roman" w:cs="Times New Roman" w:eastAsia="Times New Roman" w:hAnsi="Times New Roman"/>
          <w:b w:val="false"/>
          <w:bCs w:val="false"/>
          <w:i w:val="false"/>
          <w:iCs w:val="false"/>
          <w:sz w:val="24"/>
          <w:szCs w:val="24"/>
        </w:rPr>
        <w:t xml:space="preserve"> multivendedor a uma etapa posterior.</w:t>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A confiança figura como condição central da conversão em ambientes digitais, uma vez que o consumidor não inspeciona fisicamente o produto nem conhece pessoalmente o vendedor. Elementos como clareza de preços, políticas explícitas, segurança percebida na transação e qualidade da comunicação influenciam tanto a decisão de compra quanto a disposição de retornar (KOTLER; KELLER, 2019; LAUDON; TRAVER, 2023). Os meios de pagamento cumprem papel decisivo nessa equação. Cartões de crédito, transferências instantâneas como o Pix e boletos bancários costumam ser processados por intermediários especializados, que assumem a verificação antifraude, a confirmação assíncrona do pagamento e a guarda dos dados financeiros, o que dispensa o lojista de manipular diretamente essas informações sensíveis.</w:t>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Por fim, a natureza do bem comercializado condiciona a logística. Produtos digitais apresentam custo marginal de reprodução próximo de zero e podem ser entregues por </w:t>
      </w:r>
      <w:r>
        <w:rPr>
          <w:rFonts w:ascii="Times New Roman" w:cs="Times New Roman" w:eastAsia="Times New Roman" w:hAnsi="Times New Roman"/>
          <w:b w:val="false"/>
          <w:bCs w:val="false"/>
          <w:i/>
          <w:iCs/>
          <w:sz w:val="24"/>
          <w:szCs w:val="24"/>
        </w:rPr>
        <w:t xml:space="preserve">download</w:t>
      </w:r>
      <w:r>
        <w:rPr>
          <w:rFonts w:ascii="Times New Roman" w:cs="Times New Roman" w:eastAsia="Times New Roman" w:hAnsi="Times New Roman"/>
          <w:b w:val="false"/>
          <w:bCs w:val="false"/>
          <w:i w:val="false"/>
          <w:iCs w:val="false"/>
          <w:sz w:val="24"/>
          <w:szCs w:val="24"/>
        </w:rPr>
        <w:t xml:space="preserve"> logo após a aprovação do pagamento, o que elimina frete e prazo, mas introduz exigências próprias: controle de acesso ao arquivo, expiração dos vínculos de entrega e registro das transferências realizadas (TURBAN et al., 2018). Tais requisitos, somados à escolha entre loja própria e </w:t>
      </w:r>
      <w:r>
        <w:rPr>
          <w:rFonts w:ascii="Times New Roman" w:cs="Times New Roman" w:eastAsia="Times New Roman" w:hAnsi="Times New Roman"/>
          <w:b w:val="false"/>
          <w:bCs w:val="false"/>
          <w:i/>
          <w:iCs/>
          <w:sz w:val="24"/>
          <w:szCs w:val="24"/>
        </w:rPr>
        <w:t xml:space="preserve">marketplace</w:t>
      </w:r>
      <w:r>
        <w:rPr>
          <w:rFonts w:ascii="Times New Roman" w:cs="Times New Roman" w:eastAsia="Times New Roman" w:hAnsi="Times New Roman"/>
          <w:b w:val="false"/>
          <w:bCs w:val="false"/>
          <w:i w:val="false"/>
          <w:iCs w:val="false"/>
          <w:sz w:val="24"/>
          <w:szCs w:val="24"/>
        </w:rPr>
        <w:t xml:space="preserve"> e à integração com intermediários de pagamento, delimitam o conjunto de decisões técnicas detalhadas no capítulo 4.</w:t>
      </w:r>
    </w:p>
    <w:p>
      <w:pPr>
        <w:pStyle w:val="Heading2"/>
        <w:spacing w:after="360" w:before="360" w:line="360"/>
        <w:jc w:val="left"/>
      </w:pPr>
      <w:r>
        <w:rPr>
          <w:rFonts w:ascii="Times New Roman" w:cs="Times New Roman" w:eastAsia="Times New Roman" w:hAnsi="Times New Roman"/>
          <w:b/>
          <w:bCs/>
          <w:i w:val="false"/>
          <w:iCs w:val="false"/>
          <w:sz w:val="24"/>
          <w:szCs w:val="24"/>
        </w:rPr>
        <w:t xml:space="preserve">2.5 Direitos autorais de materiais didáticos e a BNCC como referência de qualidade</w:t>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A produção de materiais didáticos autorais por professores da educação básica encontra amparo na Lei nº 9.610/1998, que consolida a legislação brasileira sobre direitos autorais e define como obras intelectuais protegidas as criações do espírito expressas por qualquer meio ou fixadas em qualquer suporte (BRASIL, 1998). Planos de aula, apostilas, atividades, jogos pedagógicos e instrumentos de avaliação elaborados por docentes enquadram-se nessa definição, de modo que a proteção legal nasce com a própria criação, independentemente de registro formal. Ao autor são assegurados direitos morais, como o reconhecimento da paternidade da obra e a preservação de sua integridade, e direitos patrimoniais, que dizem respeito à exploração econômica do trabalho intelectual. Bittar (2022) observa que o direito de autor confere ao criador o controle sobre a reprodução, a distribuição e a comunicação da obra ao público, prerrogativas que constituem a base de qualquer atividade lícita de licenciamento de conteúdo.</w:t>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A circulação informal desses materiais, contudo, esvazia tais garantias na prática. Quando um arquivo é vendido em grupos de WhatsApp e entregue por </w:t>
      </w:r>
      <w:r>
        <w:rPr>
          <w:rFonts w:ascii="Times New Roman" w:cs="Times New Roman" w:eastAsia="Times New Roman" w:hAnsi="Times New Roman"/>
          <w:b w:val="false"/>
          <w:bCs w:val="false"/>
          <w:i/>
          <w:iCs/>
          <w:sz w:val="24"/>
          <w:szCs w:val="24"/>
        </w:rPr>
        <w:t xml:space="preserve">link</w:t>
      </w:r>
      <w:r>
        <w:rPr>
          <w:rFonts w:ascii="Times New Roman" w:cs="Times New Roman" w:eastAsia="Times New Roman" w:hAnsi="Times New Roman"/>
          <w:b w:val="false"/>
          <w:bCs w:val="false"/>
          <w:i w:val="false"/>
          <w:iCs w:val="false"/>
          <w:sz w:val="24"/>
          <w:szCs w:val="24"/>
        </w:rPr>
        <w:t xml:space="preserve"> do Google Drive, o autor perde o controle sobre a obra no instante da primeira entrega: nada impede que o comprador redistribua o documento a terceiros, gratuitamente ou mediante revenda, sem registro da transação original nem termos de licença que delimitem os usos permitidos. A comprovação de autoria e de anterioridade também se fragiliza, dado que transferências por aplicativos de mensagem não produzem lastro documental consistente. O pagamento por Pix, desacompanhado de contrato ou comprovante fiscal, completa o quadro de desproteção. Há ainda um efeito econômico direto: a obra que circula livremente em cópias não autorizadas deixa de sustentar preço, o que aprofunda a subvalorização do trabalho intelectual docente e se soma ao processo de precarização das condições de trabalho na educação descrito por Oliveira (2004).</w:t>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Uma plataforma especializada não elimina a possibilidade de cópia posterior do arquivo, limite inerente a qualquer bem digital, mas modifica as condições de proteção. No Ateliê Escolar, a entrega ocorre somente após a confirmação do pagamento, mediante </w:t>
      </w:r>
      <w:r>
        <w:rPr>
          <w:rFonts w:ascii="Times New Roman" w:cs="Times New Roman" w:eastAsia="Times New Roman" w:hAnsi="Times New Roman"/>
          <w:b w:val="false"/>
          <w:bCs w:val="false"/>
          <w:i/>
          <w:iCs/>
          <w:sz w:val="24"/>
          <w:szCs w:val="24"/>
        </w:rPr>
        <w:t xml:space="preserve">token</w:t>
      </w:r>
      <w:r>
        <w:rPr>
          <w:rFonts w:ascii="Times New Roman" w:cs="Times New Roman" w:eastAsia="Times New Roman" w:hAnsi="Times New Roman"/>
          <w:b w:val="false"/>
          <w:bCs w:val="false"/>
          <w:i w:val="false"/>
          <w:iCs w:val="false"/>
          <w:sz w:val="24"/>
          <w:szCs w:val="24"/>
        </w:rPr>
        <w:t xml:space="preserve"> de </w:t>
      </w:r>
      <w:r>
        <w:rPr>
          <w:rFonts w:ascii="Times New Roman" w:cs="Times New Roman" w:eastAsia="Times New Roman" w:hAnsi="Times New Roman"/>
          <w:b w:val="false"/>
          <w:bCs w:val="false"/>
          <w:i/>
          <w:iCs/>
          <w:sz w:val="24"/>
          <w:szCs w:val="24"/>
        </w:rPr>
        <w:t xml:space="preserve">download</w:t>
      </w:r>
      <w:r>
        <w:rPr>
          <w:rFonts w:ascii="Times New Roman" w:cs="Times New Roman" w:eastAsia="Times New Roman" w:hAnsi="Times New Roman"/>
          <w:b w:val="false"/>
          <w:bCs w:val="false"/>
          <w:i w:val="false"/>
          <w:iCs w:val="false"/>
          <w:sz w:val="24"/>
          <w:szCs w:val="24"/>
        </w:rPr>
        <w:t xml:space="preserve"> com prazo de expiração, e cada acesso ao arquivo é registrado em trilha de auditoria com data, endereço IP e identificação do pedido. Esse desenho formaliza a relação entre autor e comprador, vincula cada cópia distribuída a uma transação identificável e produz evidências documentais que favorecem o titular dos direitos em eventual controvérsia. Shelton e Archambault (2019) verificaram que plataformas dedicadas à venda de recursos educacionais contribuem para profissionalizar a atividade dos professores criadores de conteúdo, deslocando-a da informalidade para uma prática econômica estruturada.</w:t>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No que se refere à qualidade pedagógica, a Base Nacional Comum Curricular (BNCC) cumpre papel de referencial objetivo. Trata-se de documento de caráter normativo que define o conjunto de aprendizagens essenciais a serem desenvolvidas por todos os alunos ao longo da educação básica, organizadas em competências e habilidades identificadas por códigos próprios para cada etapa e componente curricular (BRASIL, 2018b). Para uma plataforma de comercialização de materiais didáticos autorais, esse referencial oferece um critério de curadoria verificável: a indicação das habilidades contempladas por cada material permite categorizar o catálogo, qualificar a busca e sinalizar ao comprador que o produto se articula ao currículo oficial. Reduz-se, desse modo, a assimetria de informação típica dos canais informais, nos quais o educador adquire o material sem parâmetros prévios de avaliação. Tardif (2014) auxilia a compreender o alcance dessa articulação ao sustentar que os saberes construídos na experiência docente ganham legitimidade e circulação quando expressos em referenciais partilhados pela categoria profissional; a BNCC funciona, nesse contexto, como linguagem comum entre quem produz e quem adota o material.</w:t>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Por fim, cabe registrar que a operação de uma plataforma digital de comercialização envolve o tratamento de dados pessoais de compradores, como nome, </w:t>
      </w:r>
      <w:r>
        <w:rPr>
          <w:rFonts w:ascii="Times New Roman" w:cs="Times New Roman" w:eastAsia="Times New Roman" w:hAnsi="Times New Roman"/>
          <w:b w:val="false"/>
          <w:bCs w:val="false"/>
          <w:i/>
          <w:iCs/>
          <w:sz w:val="24"/>
          <w:szCs w:val="24"/>
        </w:rPr>
        <w:t xml:space="preserve">e-mail</w:t>
      </w:r>
      <w:r>
        <w:rPr>
          <w:rFonts w:ascii="Times New Roman" w:cs="Times New Roman" w:eastAsia="Times New Roman" w:hAnsi="Times New Roman"/>
          <w:b w:val="false"/>
          <w:bCs w:val="false"/>
          <w:i w:val="false"/>
          <w:iCs w:val="false"/>
          <w:sz w:val="24"/>
          <w:szCs w:val="24"/>
        </w:rPr>
        <w:t xml:space="preserve"> e CPF, o que atrai a incidência da Lei nº 13.709/2018, a Lei Geral de Proteção de Dados Pessoais (BRASIL, 2018a). A conformidade com esse diploma não constitui diferencial competitivo, mas requisito legal de funcionamento, com reflexos diretos sobre decisões de arquitetura e de projeto. As medidas adotadas no Ateliê Escolar para atender a essas obrigações, da minimização de dados à exclusão de conta em autosserviço pelo titular, são examinadas na seção 4.6.</w:t>
      </w:r>
    </w:p>
    <w:p>
      <w:pPr>
        <w:pStyle w:val="Heading2"/>
        <w:spacing w:after="360" w:before="360" w:line="360"/>
        <w:jc w:val="left"/>
      </w:pPr>
      <w:r>
        <w:rPr>
          <w:rFonts w:ascii="Times New Roman" w:cs="Times New Roman" w:eastAsia="Times New Roman" w:hAnsi="Times New Roman"/>
          <w:b/>
          <w:bCs/>
          <w:i w:val="false"/>
          <w:iCs w:val="false"/>
          <w:sz w:val="24"/>
          <w:szCs w:val="24"/>
        </w:rPr>
        <w:t xml:space="preserve">2.6 Tecnologias de desenvolvimento </w:t>
      </w:r>
      <w:r>
        <w:rPr>
          <w:rFonts w:ascii="Times New Roman" w:cs="Times New Roman" w:eastAsia="Times New Roman" w:hAnsi="Times New Roman"/>
          <w:b/>
          <w:bCs/>
          <w:i/>
          <w:iCs/>
          <w:sz w:val="24"/>
          <w:szCs w:val="24"/>
        </w:rPr>
        <w:t xml:space="preserve">web</w:t>
      </w:r>
      <w:r>
        <w:rPr>
          <w:rFonts w:ascii="Times New Roman" w:cs="Times New Roman" w:eastAsia="Times New Roman" w:hAnsi="Times New Roman"/>
          <w:b/>
          <w:bCs/>
          <w:i w:val="false"/>
          <w:iCs w:val="false"/>
          <w:sz w:val="24"/>
          <w:szCs w:val="24"/>
        </w:rPr>
        <w:t xml:space="preserve">: React, Node.js, arquitetura </w:t>
      </w:r>
      <w:r>
        <w:rPr>
          <w:rFonts w:ascii="Times New Roman" w:cs="Times New Roman" w:eastAsia="Times New Roman" w:hAnsi="Times New Roman"/>
          <w:b/>
          <w:bCs/>
          <w:i/>
          <w:iCs/>
          <w:sz w:val="24"/>
          <w:szCs w:val="24"/>
        </w:rPr>
        <w:t xml:space="preserve">serverless</w:t>
      </w:r>
      <w:r>
        <w:rPr>
          <w:rFonts w:ascii="Times New Roman" w:cs="Times New Roman" w:eastAsia="Times New Roman" w:hAnsi="Times New Roman"/>
          <w:b/>
          <w:bCs/>
          <w:i w:val="false"/>
          <w:iCs w:val="false"/>
          <w:sz w:val="24"/>
          <w:szCs w:val="24"/>
        </w:rPr>
        <w:t xml:space="preserve"> e Supabase/PostgreSQL</w:t>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O desenvolvimento de aplicações </w:t>
      </w:r>
      <w:r>
        <w:rPr>
          <w:rFonts w:ascii="Times New Roman" w:cs="Times New Roman" w:eastAsia="Times New Roman" w:hAnsi="Times New Roman"/>
          <w:b w:val="false"/>
          <w:bCs w:val="false"/>
          <w:i/>
          <w:iCs/>
          <w:sz w:val="24"/>
          <w:szCs w:val="24"/>
        </w:rPr>
        <w:t xml:space="preserve">web</w:t>
      </w:r>
      <w:r>
        <w:rPr>
          <w:rFonts w:ascii="Times New Roman" w:cs="Times New Roman" w:eastAsia="Times New Roman" w:hAnsi="Times New Roman"/>
          <w:b w:val="false"/>
          <w:bCs w:val="false"/>
          <w:i w:val="false"/>
          <w:iCs w:val="false"/>
          <w:sz w:val="24"/>
          <w:szCs w:val="24"/>
        </w:rPr>
        <w:t xml:space="preserve"> contemporâneas articula três camadas principais: a apresentação executada no navegador, a lógica de negócio processada no servidor e a persistência dos dados em um sistema gerenciador de banco. Pressman e Maxim (2016) observam que sistemas baseados na </w:t>
      </w:r>
      <w:r>
        <w:rPr>
          <w:rFonts w:ascii="Times New Roman" w:cs="Times New Roman" w:eastAsia="Times New Roman" w:hAnsi="Times New Roman"/>
          <w:b w:val="false"/>
          <w:bCs w:val="false"/>
          <w:i/>
          <w:iCs/>
          <w:sz w:val="24"/>
          <w:szCs w:val="24"/>
        </w:rPr>
        <w:t xml:space="preserve">web</w:t>
      </w:r>
      <w:r>
        <w:rPr>
          <w:rFonts w:ascii="Times New Roman" w:cs="Times New Roman" w:eastAsia="Times New Roman" w:hAnsi="Times New Roman"/>
          <w:b w:val="false"/>
          <w:bCs w:val="false"/>
          <w:i w:val="false"/>
          <w:iCs w:val="false"/>
          <w:sz w:val="24"/>
          <w:szCs w:val="24"/>
        </w:rPr>
        <w:t xml:space="preserve"> possuem atributos particulares, como evolução contínua, imediatismo na entrega e forte dependência de rede, o que exige decisões arquiteturais criteriosas desde as fases iniciais do projeto. Em aplicações de comércio eletrônico, essa infraestrutura condiciona a experiência de compra e a confiabilidade das transações; por isso, a escolha das tecnologias integra a própria concepção do sistema, e não apenas sua etapa de implementação (LAUDON; TRAVER, 2023).</w:t>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Na camada de apresentação, ou </w:t>
      </w:r>
      <w:r>
        <w:rPr>
          <w:rFonts w:ascii="Times New Roman" w:cs="Times New Roman" w:eastAsia="Times New Roman" w:hAnsi="Times New Roman"/>
          <w:b w:val="false"/>
          <w:bCs w:val="false"/>
          <w:i/>
          <w:iCs/>
          <w:sz w:val="24"/>
          <w:szCs w:val="24"/>
        </w:rPr>
        <w:t xml:space="preserve">front-end</w:t>
      </w:r>
      <w:r>
        <w:rPr>
          <w:rFonts w:ascii="Times New Roman" w:cs="Times New Roman" w:eastAsia="Times New Roman" w:hAnsi="Times New Roman"/>
          <w:b w:val="false"/>
          <w:bCs w:val="false"/>
          <w:i w:val="false"/>
          <w:iCs w:val="false"/>
          <w:sz w:val="24"/>
          <w:szCs w:val="24"/>
        </w:rPr>
        <w:t xml:space="preserve">, o React figura entre as bibliotecas JavaScript mais utilizadas para a construção de interfaces de usuário. Seu fundamento é a componentização: a interface é decomposta em componentes independentes e reutilizáveis, que encapsulam marcação, estilo e comportamento e se combinam para formar telas completas. A biblioteca adota, ainda, um paradigma declarativo de gerenciamento de estado, no qual o desenvolvedor descreve como a interface deve se apresentar para cada estado possível dos dados, cabendo ao React calcular e aplicar as atualizações mínimas necessárias na árvore de elementos do navegador (REACT FOUNDATION, 2026). Esse modelo favorece as </w:t>
      </w:r>
      <w:r>
        <w:rPr>
          <w:rFonts w:ascii="Times New Roman" w:cs="Times New Roman" w:eastAsia="Times New Roman" w:hAnsi="Times New Roman"/>
          <w:b w:val="false"/>
          <w:bCs w:val="false"/>
          <w:i/>
          <w:iCs/>
          <w:sz w:val="24"/>
          <w:szCs w:val="24"/>
        </w:rPr>
        <w:t xml:space="preserve">single-page applications</w:t>
      </w:r>
      <w:r>
        <w:rPr>
          <w:rFonts w:ascii="Times New Roman" w:cs="Times New Roman" w:eastAsia="Times New Roman" w:hAnsi="Times New Roman"/>
          <w:b w:val="false"/>
          <w:bCs w:val="false"/>
          <w:i w:val="false"/>
          <w:iCs w:val="false"/>
          <w:sz w:val="24"/>
          <w:szCs w:val="24"/>
        </w:rPr>
        <w:t xml:space="preserve"> (SPA), aplicações carregadas uma única vez e atualizadas dinamicamente, sem recarregamento integral de páginas, com o roteamento resolvido no próprio cliente. Ferramentas de construção como o Vite complementam esse fluxo, ao oferecer servidor de desenvolvimento apoiado em módulos nativos do navegador e geração de pacotes otimizados para produção.</w:t>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No servidor, o Node.js consiste em um ambiente de execução que leva a linguagem JavaScript para fora do navegador, apoiado no motor V8 e em uma arquitetura orientada a eventos. Em vez de dedicar uma linha de execução a cada conexão, o Node.js opera com um laço de eventos (</w:t>
      </w:r>
      <w:r>
        <w:rPr>
          <w:rFonts w:ascii="Times New Roman" w:cs="Times New Roman" w:eastAsia="Times New Roman" w:hAnsi="Times New Roman"/>
          <w:b w:val="false"/>
          <w:bCs w:val="false"/>
          <w:i/>
          <w:iCs/>
          <w:sz w:val="24"/>
          <w:szCs w:val="24"/>
        </w:rPr>
        <w:t xml:space="preserve">event loop</w:t>
      </w:r>
      <w:r>
        <w:rPr>
          <w:rFonts w:ascii="Times New Roman" w:cs="Times New Roman" w:eastAsia="Times New Roman" w:hAnsi="Times New Roman"/>
          <w:b w:val="false"/>
          <w:bCs w:val="false"/>
          <w:i w:val="false"/>
          <w:iCs w:val="false"/>
          <w:sz w:val="24"/>
          <w:szCs w:val="24"/>
        </w:rPr>
        <w:t xml:space="preserve">) que delega operações de entrada e saída — consultas a banco, chamadas de rede, leitura de arquivos — a mecanismos assíncronos não bloqueantes, retomando o processamento quando os resultados ficam disponíveis (OPENJS FOUNDATION, 2026). Esse desenho o torna adequado a aplicações com grande volume de conexões simultâneas de curta duração, perfil típico de lojas virtuais. A unificação da linguagem entre cliente e servidor, por sua vez, reduz a alternância de contexto da equipe de desenvolvimento e permite compartilhar utilitários e regras de validação entre as duas pontas da aplicação.</w:t>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A forma de implantar essa lógica de servidor também se transformou. Roberts (2018) descreve a arquitetura </w:t>
      </w:r>
      <w:r>
        <w:rPr>
          <w:rFonts w:ascii="Times New Roman" w:cs="Times New Roman" w:eastAsia="Times New Roman" w:hAnsi="Times New Roman"/>
          <w:b w:val="false"/>
          <w:bCs w:val="false"/>
          <w:i/>
          <w:iCs/>
          <w:sz w:val="24"/>
          <w:szCs w:val="24"/>
        </w:rPr>
        <w:t xml:space="preserve">serverless</w:t>
      </w:r>
      <w:r>
        <w:rPr>
          <w:rFonts w:ascii="Times New Roman" w:cs="Times New Roman" w:eastAsia="Times New Roman" w:hAnsi="Times New Roman"/>
          <w:b w:val="false"/>
          <w:bCs w:val="false"/>
          <w:i w:val="false"/>
          <w:iCs w:val="false"/>
          <w:sz w:val="24"/>
          <w:szCs w:val="24"/>
        </w:rPr>
        <w:t xml:space="preserve">, em particular o modelo </w:t>
      </w:r>
      <w:r>
        <w:rPr>
          <w:rFonts w:ascii="Times New Roman" w:cs="Times New Roman" w:eastAsia="Times New Roman" w:hAnsi="Times New Roman"/>
          <w:b w:val="false"/>
          <w:bCs w:val="false"/>
          <w:i/>
          <w:iCs/>
          <w:sz w:val="24"/>
          <w:szCs w:val="24"/>
        </w:rPr>
        <w:t xml:space="preserve">Function as a Service</w:t>
      </w:r>
      <w:r>
        <w:rPr>
          <w:rFonts w:ascii="Times New Roman" w:cs="Times New Roman" w:eastAsia="Times New Roman" w:hAnsi="Times New Roman"/>
          <w:b w:val="false"/>
          <w:bCs w:val="false"/>
          <w:i w:val="false"/>
          <w:iCs w:val="false"/>
          <w:sz w:val="24"/>
          <w:szCs w:val="24"/>
        </w:rPr>
        <w:t xml:space="preserve"> (FaaS), no qual o código é empacotado em funções acionadas por eventos, como requisições HTTP, e executadas em ambientes efêmeros provisionados pelo provedor de nuvem. Não há servidores administrados pela equipe: a plataforma instancia, escala e desativa as funções conforme a demanda, podendo inclusive reduzir a capacidade a zero em períodos ociosos, e a cobrança ocorre em função do uso efetivo, e não da capacidade reservada. O mesmo autor pondera, entretanto, contrapartidas relevantes, como a latência de inicialização a frio, a ausência de estado entre invocações, os limites de tempo de execução e o acoplamento ao fornecedor.</w:t>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Movimento análogo de delegação ocorre na camada de dados com o </w:t>
      </w:r>
      <w:r>
        <w:rPr>
          <w:rFonts w:ascii="Times New Roman" w:cs="Times New Roman" w:eastAsia="Times New Roman" w:hAnsi="Times New Roman"/>
          <w:b w:val="false"/>
          <w:bCs w:val="false"/>
          <w:i/>
          <w:iCs/>
          <w:sz w:val="24"/>
          <w:szCs w:val="24"/>
        </w:rPr>
        <w:t xml:space="preserve">Backend as a Service</w:t>
      </w:r>
      <w:r>
        <w:rPr>
          <w:rFonts w:ascii="Times New Roman" w:cs="Times New Roman" w:eastAsia="Times New Roman" w:hAnsi="Times New Roman"/>
          <w:b w:val="false"/>
          <w:bCs w:val="false"/>
          <w:i w:val="false"/>
          <w:iCs w:val="false"/>
          <w:sz w:val="24"/>
          <w:szCs w:val="24"/>
        </w:rPr>
        <w:t xml:space="preserve"> (BaaS), categoria em que se insere o Supabase. A plataforma oferece, sobre uma instância gerenciada de PostgreSQL, um conjunto integrado de serviços: autenticação com credenciais próprias e com provedores externos via OAuth, interfaces de programação geradas automaticamente a partir do esquema do banco, armazenamento de arquivos e emissão de endereços assinados de validade temporária para acesso controlado a conteúdos (SUPABASE, 2026). Um de seus recursos centrais é o aproveitamento da segurança em nível de linha, ou </w:t>
      </w:r>
      <w:r>
        <w:rPr>
          <w:rFonts w:ascii="Times New Roman" w:cs="Times New Roman" w:eastAsia="Times New Roman" w:hAnsi="Times New Roman"/>
          <w:b w:val="false"/>
          <w:bCs w:val="false"/>
          <w:i/>
          <w:iCs/>
          <w:sz w:val="24"/>
          <w:szCs w:val="24"/>
        </w:rPr>
        <w:t xml:space="preserve">Row Level Security</w:t>
      </w:r>
      <w:r>
        <w:rPr>
          <w:rFonts w:ascii="Times New Roman" w:cs="Times New Roman" w:eastAsia="Times New Roman" w:hAnsi="Times New Roman"/>
          <w:b w:val="false"/>
          <w:bCs w:val="false"/>
          <w:i w:val="false"/>
          <w:iCs w:val="false"/>
          <w:sz w:val="24"/>
          <w:szCs w:val="24"/>
        </w:rPr>
        <w:t xml:space="preserve"> (RLS), do PostgreSQL, pela qual políticas de autorização declaradas no próprio banco determinam quais registros cada requisitante pode ler ou modificar, deslocando parte do controle de acesso da aplicação para o sistema gerenciador.</w:t>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O PostgreSQL, que sustenta esse arranjo, é um sistema gerenciador de banco de dados objeto-relacional de código aberto, reconhecido pela conformidade com o padrão SQL e pela confiabilidade transacional (POSTGRESQL GLOBAL DEVELOPMENT GROUP, 2026). O sistema assegura as propriedades de atomicidade, consistência, isolamento e durabilidade das transações, provê integridade referencial por meio de chaves estrangeiras e disponibiliza gatilhos, funções armazenadas e tipos de dados flexíveis, como o JSON binário, capaz de acomodar estruturas semiestruturadas sem abandono do modelo relacional. Tais características o tornam apropriado a domínios em que a exatidão dos registros é condição inegociável, caso de pedidos e pagamentos.</w:t>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Do encadeamento dessas camadas resulta um modelo de desenvolvimento em que a interface reativa no navegador se comunica com funções de curta duração no servidor e estas, por seu turno, com um banco relacional que concentra regras de integridade e de autorização. A presente seção limita-se a essa caracterização conceitual; a forma como tais elementos foram combinados no Ateliê Escolar, bem como as razões de sua adoção frente a alternativas, é discutida na seção 4.4.</w:t>
      </w:r>
    </w:p>
    <w:p>
      <w:pPr>
        <w:pStyle w:val="Heading1"/>
        <w:pageBreakBefore/>
        <w:spacing w:after="360" w:before="0" w:line="360"/>
        <w:jc w:val="left"/>
      </w:pPr>
      <w:r>
        <w:rPr>
          <w:rFonts w:ascii="Times New Roman" w:cs="Times New Roman" w:eastAsia="Times New Roman" w:hAnsi="Times New Roman"/>
          <w:b/>
          <w:bCs/>
          <w:i w:val="false"/>
          <w:iCs w:val="false"/>
          <w:sz w:val="24"/>
          <w:szCs w:val="24"/>
        </w:rPr>
        <w:t xml:space="preserve">3 METODOLOGIA</w:t>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Este capítulo apresenta o enquadramento metodológico que orientou o estudo e descreve o percurso seguido na construção do Ateliê Escolar. Inicialmente, a pesquisa é classificada quanto à natureza, à abordagem, aos objetivos e aos procedimentos técnicos, com apoio na literatura de metodologia científica. Na sequência, detalham-se as quatro etapas do desenvolvimento da plataforma, do levantamento de requisitos à validação dos fluxos implementados.</w:t>
      </w:r>
    </w:p>
    <w:p>
      <w:pPr>
        <w:pStyle w:val="Heading2"/>
        <w:spacing w:after="360" w:before="360" w:line="360"/>
        <w:jc w:val="left"/>
      </w:pPr>
      <w:r>
        <w:rPr>
          <w:rFonts w:ascii="Times New Roman" w:cs="Times New Roman" w:eastAsia="Times New Roman" w:hAnsi="Times New Roman"/>
          <w:b/>
          <w:bCs/>
          <w:i w:val="false"/>
          <w:iCs w:val="false"/>
          <w:sz w:val="24"/>
          <w:szCs w:val="24"/>
        </w:rPr>
        <w:t xml:space="preserve">3.1 Classificação da pesquisa</w:t>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Quanto à natureza, trata-se de pesquisa aplicada, uma vez que o estudo não se limita à produção de conhecimento teórico, mas se volta à construção de uma solução concreta para um problema específico: a informalidade e a fragmentação dos canais utilizados por professores da educação básica para comercializar materiais didáticos autorais. Prodanov e Freitas (2013) caracterizam a pesquisa aplicada como aquela que objetiva gerar conhecimentos para aplicação prática, dirigidos à solução de problemas determinados e envolvendo interesses localizados. O presente trabalho se enquadra nessa descrição, dado que seu resultado central é uma plataforma de </w:t>
      </w:r>
      <w:r>
        <w:rPr>
          <w:rFonts w:ascii="Times New Roman" w:cs="Times New Roman" w:eastAsia="Times New Roman" w:hAnsi="Times New Roman"/>
          <w:b w:val="false"/>
          <w:bCs w:val="false"/>
          <w:i/>
          <w:iCs/>
          <w:sz w:val="24"/>
          <w:szCs w:val="24"/>
        </w:rPr>
        <w:t xml:space="preserve">e-commerce</w:t>
      </w:r>
      <w:r>
        <w:rPr>
          <w:rFonts w:ascii="Times New Roman" w:cs="Times New Roman" w:eastAsia="Times New Roman" w:hAnsi="Times New Roman"/>
          <w:b w:val="false"/>
          <w:bCs w:val="false"/>
          <w:i w:val="false"/>
          <w:iCs w:val="false"/>
          <w:sz w:val="24"/>
          <w:szCs w:val="24"/>
        </w:rPr>
        <w:t xml:space="preserve"> em funcionamento.</w:t>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A abordagem adotada é qualitativa. As decisões de projeto, que vão da escolha de tecnologias à definição de requisitos e da modelagem do banco de dados às estratégias de segurança, foram tomadas e avaliadas a partir da interpretação do problema e do exame da adequação do artefato aos objetivos propostos, e não por meio da quantificação estatística de variáveis. Para Prodanov e Freitas (2013), a abordagem qualitativa considera a relação dinâmica entre o mundo real e o sujeito, privilegiando a interpretação dos fenômenos e a atribuição de significados, sem exigir o emprego de métodos estatísticos. Esse entendimento sustenta a escolha aqui adotada, pois se buscou aferir a pertinência da solução, e não mensurar variáveis isoladas.</w:t>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Quanto aos objetivos, a pesquisa assume caráter exploratório-descritivo. A fase exploratória corresponde à aproximação inicial do problema da venda informal de materiais didáticos autorais, tema ainda pouco sistematizado na literatura nacional, com vistas a torná-lo mais explícito e a delimitar os requisitos da solução. Gil (2002) observa que pesquisas exploratórias têm como propósito proporcionar maior familiaridade com o problema e aprimorar ideias. A dimensão descritiva, em contrapartida, manifesta-se na exposição pormenorizada da arquitetura, do modelo de dados, dos fluxos de compra e dos mecanismos de segurança, registrando as características do artefato produzido (GIL, 2002).</w:t>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No que se refere aos procedimentos técnicos, combinaram-se a pesquisa bibliográfica e o desenvolvimento de um protótipo funcional. A pesquisa bibliográfica, elaborada a partir de material já publicado, como livros, artigos científicos e documentação técnica oficial, fundamentou tanto a discussão sobre trabalho docente e economia criativa quanto as escolhas tecnológicas (MARCONI; LAKATOS, 2003). O desenvolvimento do artefato, por outro lado, aproxima o estudo da chamada pesquisa tecnológica. Wazlawick (2014) pondera que, na computação, parcela expressiva das investigações consiste na concepção e na construção de artefatos de </w:t>
      </w:r>
      <w:r>
        <w:rPr>
          <w:rFonts w:ascii="Times New Roman" w:cs="Times New Roman" w:eastAsia="Times New Roman" w:hAnsi="Times New Roman"/>
          <w:b w:val="false"/>
          <w:bCs w:val="false"/>
          <w:i/>
          <w:iCs/>
          <w:sz w:val="24"/>
          <w:szCs w:val="24"/>
        </w:rPr>
        <w:t xml:space="preserve">software</w:t>
      </w:r>
      <w:r>
        <w:rPr>
          <w:rFonts w:ascii="Times New Roman" w:cs="Times New Roman" w:eastAsia="Times New Roman" w:hAnsi="Times New Roman"/>
          <w:b w:val="false"/>
          <w:bCs w:val="false"/>
          <w:i w:val="false"/>
          <w:iCs w:val="false"/>
          <w:sz w:val="24"/>
          <w:szCs w:val="24"/>
        </w:rPr>
        <w:t xml:space="preserve"> que materializam a resposta à pergunta de pesquisa, cabendo ao pesquisador demonstrar que a solução atende aos requisitos levantados e discutir suas limitações. É esse o papel desempenhado pelo Ateliê Escolar neste trabalho.</w:t>
      </w:r>
    </w:p>
    <w:p>
      <w:pPr>
        <w:pStyle w:val="Heading2"/>
        <w:spacing w:after="360" w:before="360" w:line="360"/>
        <w:jc w:val="left"/>
      </w:pPr>
      <w:r>
        <w:rPr>
          <w:rFonts w:ascii="Times New Roman" w:cs="Times New Roman" w:eastAsia="Times New Roman" w:hAnsi="Times New Roman"/>
          <w:b/>
          <w:bCs/>
          <w:i w:val="false"/>
          <w:iCs w:val="false"/>
          <w:sz w:val="24"/>
          <w:szCs w:val="24"/>
        </w:rPr>
        <w:t xml:space="preserve">3.2 Etapas do desenvolvimento</w:t>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O desenvolvimento foi organizado em quatro etapas sequenciais, ainda que com retroalimentação entre elas. A primeira consistiu no levantamento e na análise de requisitos a partir do problema identificado. Foram examinados os canais informais empregados por docentes para divulgar e vender seus materiais, e dessa análise derivaram os requisitos funcionais, entre os quais catálogo de produtos, carrinho, </w:t>
      </w:r>
      <w:r>
        <w:rPr>
          <w:rFonts w:ascii="Times New Roman" w:cs="Times New Roman" w:eastAsia="Times New Roman" w:hAnsi="Times New Roman"/>
          <w:b w:val="false"/>
          <w:bCs w:val="false"/>
          <w:i/>
          <w:iCs/>
          <w:sz w:val="24"/>
          <w:szCs w:val="24"/>
        </w:rPr>
        <w:t xml:space="preserve">checkout</w:t>
      </w:r>
      <w:r>
        <w:rPr>
          <w:rFonts w:ascii="Times New Roman" w:cs="Times New Roman" w:eastAsia="Times New Roman" w:hAnsi="Times New Roman"/>
          <w:b w:val="false"/>
          <w:bCs w:val="false"/>
          <w:i w:val="false"/>
          <w:iCs w:val="false"/>
          <w:sz w:val="24"/>
          <w:szCs w:val="24"/>
        </w:rPr>
        <w:t xml:space="preserve"> com pagamento integrado, gestão de pedidos, cupons de desconto, painel administrativo com indicadores e autenticação de clientes. Da mesma análise resultaram os requisitos não funcionais, relacionados a segurança, privacidade, desempenho e custo de operação compatível com um empreendimento docente individual.</w:t>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Na segunda etapa, realizou-se a modelagem da arquitetura e do banco de dados. Definiu-se uma arquitetura composta por uma aplicação de página única no </w:t>
      </w:r>
      <w:r>
        <w:rPr>
          <w:rFonts w:ascii="Times New Roman" w:cs="Times New Roman" w:eastAsia="Times New Roman" w:hAnsi="Times New Roman"/>
          <w:b w:val="false"/>
          <w:bCs w:val="false"/>
          <w:i/>
          <w:iCs/>
          <w:sz w:val="24"/>
          <w:szCs w:val="24"/>
        </w:rPr>
        <w:t xml:space="preserve">front-end</w:t>
      </w:r>
      <w:r>
        <w:rPr>
          <w:rFonts w:ascii="Times New Roman" w:cs="Times New Roman" w:eastAsia="Times New Roman" w:hAnsi="Times New Roman"/>
          <w:b w:val="false"/>
          <w:bCs w:val="false"/>
          <w:i w:val="false"/>
          <w:iCs w:val="false"/>
          <w:sz w:val="24"/>
          <w:szCs w:val="24"/>
        </w:rPr>
        <w:t xml:space="preserve"> e por funções </w:t>
      </w:r>
      <w:r>
        <w:rPr>
          <w:rFonts w:ascii="Times New Roman" w:cs="Times New Roman" w:eastAsia="Times New Roman" w:hAnsi="Times New Roman"/>
          <w:b w:val="false"/>
          <w:bCs w:val="false"/>
          <w:i/>
          <w:iCs/>
          <w:sz w:val="24"/>
          <w:szCs w:val="24"/>
        </w:rPr>
        <w:t xml:space="preserve">serverless</w:t>
      </w:r>
      <w:r>
        <w:rPr>
          <w:rFonts w:ascii="Times New Roman" w:cs="Times New Roman" w:eastAsia="Times New Roman" w:hAnsi="Times New Roman"/>
          <w:b w:val="false"/>
          <w:bCs w:val="false"/>
          <w:i w:val="false"/>
          <w:iCs w:val="false"/>
          <w:sz w:val="24"/>
          <w:szCs w:val="24"/>
        </w:rPr>
        <w:t xml:space="preserve"> no </w:t>
      </w:r>
      <w:r>
        <w:rPr>
          <w:rFonts w:ascii="Times New Roman" w:cs="Times New Roman" w:eastAsia="Times New Roman" w:hAnsi="Times New Roman"/>
          <w:b w:val="false"/>
          <w:bCs w:val="false"/>
          <w:i/>
          <w:iCs/>
          <w:sz w:val="24"/>
          <w:szCs w:val="24"/>
        </w:rPr>
        <w:t xml:space="preserve">back-end</w:t>
      </w:r>
      <w:r>
        <w:rPr>
          <w:rFonts w:ascii="Times New Roman" w:cs="Times New Roman" w:eastAsia="Times New Roman" w:hAnsi="Times New Roman"/>
          <w:b w:val="false"/>
          <w:bCs w:val="false"/>
          <w:i w:val="false"/>
          <w:iCs w:val="false"/>
          <w:sz w:val="24"/>
          <w:szCs w:val="24"/>
        </w:rPr>
        <w:t xml:space="preserve">, tendo como base o banco de dados relacional PostgreSQL gerenciado pelo Supabase. O modelo de dados resultou em dezessete tabelas, contemplando catálogo, pedidos, perfis de usuários, </w:t>
      </w:r>
      <w:r>
        <w:rPr>
          <w:rFonts w:ascii="Times New Roman" w:cs="Times New Roman" w:eastAsia="Times New Roman" w:hAnsi="Times New Roman"/>
          <w:b w:val="false"/>
          <w:bCs w:val="false"/>
          <w:i/>
          <w:iCs/>
          <w:sz w:val="24"/>
          <w:szCs w:val="24"/>
        </w:rPr>
        <w:t xml:space="preserve">tokens</w:t>
      </w:r>
      <w:r>
        <w:rPr>
          <w:rFonts w:ascii="Times New Roman" w:cs="Times New Roman" w:eastAsia="Times New Roman" w:hAnsi="Times New Roman"/>
          <w:b w:val="false"/>
          <w:bCs w:val="false"/>
          <w:i w:val="false"/>
          <w:iCs w:val="false"/>
          <w:sz w:val="24"/>
          <w:szCs w:val="24"/>
        </w:rPr>
        <w:t xml:space="preserve"> de </w:t>
      </w:r>
      <w:r>
        <w:rPr>
          <w:rFonts w:ascii="Times New Roman" w:cs="Times New Roman" w:eastAsia="Times New Roman" w:hAnsi="Times New Roman"/>
          <w:b w:val="false"/>
          <w:bCs w:val="false"/>
          <w:i/>
          <w:iCs/>
          <w:sz w:val="24"/>
          <w:szCs w:val="24"/>
        </w:rPr>
        <w:t xml:space="preserve">download</w:t>
      </w:r>
      <w:r>
        <w:rPr>
          <w:rFonts w:ascii="Times New Roman" w:cs="Times New Roman" w:eastAsia="Times New Roman" w:hAnsi="Times New Roman"/>
          <w:b w:val="false"/>
          <w:bCs w:val="false"/>
          <w:i w:val="false"/>
          <w:iCs w:val="false"/>
          <w:sz w:val="24"/>
          <w:szCs w:val="24"/>
        </w:rPr>
        <w:t xml:space="preserve">, eventos de </w:t>
      </w:r>
      <w:r>
        <w:rPr>
          <w:rFonts w:ascii="Times New Roman" w:cs="Times New Roman" w:eastAsia="Times New Roman" w:hAnsi="Times New Roman"/>
          <w:b w:val="false"/>
          <w:bCs w:val="false"/>
          <w:i/>
          <w:iCs/>
          <w:sz w:val="24"/>
          <w:szCs w:val="24"/>
        </w:rPr>
        <w:t xml:space="preserve">analytics</w:t>
      </w:r>
      <w:r>
        <w:rPr>
          <w:rFonts w:ascii="Times New Roman" w:cs="Times New Roman" w:eastAsia="Times New Roman" w:hAnsi="Times New Roman"/>
          <w:b w:val="false"/>
          <w:bCs w:val="false"/>
          <w:i w:val="false"/>
          <w:iCs w:val="false"/>
          <w:sz w:val="24"/>
          <w:szCs w:val="24"/>
        </w:rPr>
        <w:t xml:space="preserve"> e registros de auditoria, todas protegidas por políticas de segurança em nível de linha.</w:t>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A terceira etapa correspondeu à implementação, conduzida de forma iterativa e incremental. Cada ciclo entregava um subconjunto funcional da plataforma, que era integrado ao código existente e refinado nos ciclos seguintes; partiu-se do catálogo e do fluxo de compra, aos quais se somaram o painel administrativo, os módulos analíticos e os mecanismos de conformidade. Pressman e Maxim (2016) sustentam que processos incrementais são apropriados quando os requisitos centrais estão estabelecidos, mas seus detalhes serão lapidados à medida que o produto evolui, o que permite dispor de versões operacionais desde os primeiros ciclos. O histórico de alterações foi controlado com o sistema de versionamento Git, e a evolução do esquema do banco ficou registrada em migrações sucessivas, garantindo a rastreabilidade das decisões de projeto.</w:t>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Por fim, a quarta etapa abrangeu os testes funcionais e a validação dos fluxos. Os percursos críticos, como cadastro e autenticação, montagem do carrinho, aplicação de cupons, finalização da compra e liberação do </w:t>
      </w:r>
      <w:r>
        <w:rPr>
          <w:rFonts w:ascii="Times New Roman" w:cs="Times New Roman" w:eastAsia="Times New Roman" w:hAnsi="Times New Roman"/>
          <w:b w:val="false"/>
          <w:bCs w:val="false"/>
          <w:i/>
          <w:iCs/>
          <w:sz w:val="24"/>
          <w:szCs w:val="24"/>
        </w:rPr>
        <w:t xml:space="preserve">download</w:t>
      </w:r>
      <w:r>
        <w:rPr>
          <w:rFonts w:ascii="Times New Roman" w:cs="Times New Roman" w:eastAsia="Times New Roman" w:hAnsi="Times New Roman"/>
          <w:b w:val="false"/>
          <w:bCs w:val="false"/>
          <w:i w:val="false"/>
          <w:iCs w:val="false"/>
          <w:sz w:val="24"/>
          <w:szCs w:val="24"/>
        </w:rPr>
        <w:t xml:space="preserve">, foram exercitados de ponta a ponta, e o fluxo de pagamento foi verificado no ambiente de testes (</w:t>
      </w:r>
      <w:r>
        <w:rPr>
          <w:rFonts w:ascii="Times New Roman" w:cs="Times New Roman" w:eastAsia="Times New Roman" w:hAnsi="Times New Roman"/>
          <w:b w:val="false"/>
          <w:bCs w:val="false"/>
          <w:i/>
          <w:iCs/>
          <w:sz w:val="24"/>
          <w:szCs w:val="24"/>
        </w:rPr>
        <w:t xml:space="preserve">sandbox</w:t>
      </w:r>
      <w:r>
        <w:rPr>
          <w:rFonts w:ascii="Times New Roman" w:cs="Times New Roman" w:eastAsia="Times New Roman" w:hAnsi="Times New Roman"/>
          <w:b w:val="false"/>
          <w:bCs w:val="false"/>
          <w:i w:val="false"/>
          <w:iCs w:val="false"/>
          <w:sz w:val="24"/>
          <w:szCs w:val="24"/>
        </w:rPr>
        <w:t xml:space="preserve">) do Mercado Pago, incluída a confirmação assíncrona por </w:t>
      </w:r>
      <w:r>
        <w:rPr>
          <w:rFonts w:ascii="Times New Roman" w:cs="Times New Roman" w:eastAsia="Times New Roman" w:hAnsi="Times New Roman"/>
          <w:b w:val="false"/>
          <w:bCs w:val="false"/>
          <w:i/>
          <w:iCs/>
          <w:sz w:val="24"/>
          <w:szCs w:val="24"/>
        </w:rPr>
        <w:t xml:space="preserve">webhook</w:t>
      </w:r>
      <w:r>
        <w:rPr>
          <w:rFonts w:ascii="Times New Roman" w:cs="Times New Roman" w:eastAsia="Times New Roman" w:hAnsi="Times New Roman"/>
          <w:b w:val="false"/>
          <w:bCs w:val="false"/>
          <w:i w:val="false"/>
          <w:iCs w:val="false"/>
          <w:sz w:val="24"/>
          <w:szCs w:val="24"/>
        </w:rPr>
        <w:t xml:space="preserve">. Verificaram-se, ainda, os controles de segurança, a exemplo dos limites de requisição e da validação de assinaturas. A figura a seguir sintetiza as quatro etapas metodológicas e o encadeamento entre elas.</w:t>
      </w:r>
    </w:p>
    <w:p>
      <w:pPr>
        <w:spacing w:after="120" w:before="240" w:line="360"/>
        <w:jc w:val="center"/>
      </w:pPr>
      <w:r>
        <w:rPr>
          <w:rFonts w:ascii="Times New Roman" w:cs="Times New Roman" w:eastAsia="Times New Roman" w:hAnsi="Times New Roman"/>
          <w:b w:val="false"/>
          <w:bCs w:val="false"/>
          <w:i w:val="false"/>
          <w:iCs w:val="false"/>
          <w:sz w:val="24"/>
          <w:szCs w:val="24"/>
        </w:rPr>
        <w:t xml:space="preserve">Figura 1 – Etapas metodológicas da pesquisa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4253" w:hRule="atLeast"/>
        </w:trPr>
        <w:tc>
          <w:tcPr>
            <w:vAlign w:val="center"/>
          </w:tcPr>
          <w:p>
            <w:pPr>
              <w:spacing w:line="360"/>
              <w:jc w:val="center"/>
            </w:pPr>
            <w:r>
              <w:rPr>
                <w:rFonts w:ascii="Times New Roman" w:cs="Times New Roman" w:eastAsia="Times New Roman" w:hAnsi="Times New Roman"/>
                <w:sz w:val="24"/>
                <w:szCs w:val="24"/>
                <w:highlight w:val="yellow"/>
                <w:highlightCs w:val="yellow"/>
              </w:rPr>
              <w:t xml:space="preserve">[ INSERIR AQUI O PRINT / IMAGEM ]</w:t>
            </w:r>
          </w:p>
        </w:tc>
      </w:tr>
    </w:tbl>
    <w:p>
      <w:pPr>
        <w:spacing w:after="360" w:before="120" w:line="240"/>
        <w:jc w:val="center"/>
      </w:pPr>
      <w:r>
        <w:rPr>
          <w:rFonts w:ascii="Times New Roman" w:cs="Times New Roman" w:eastAsia="Times New Roman" w:hAnsi="Times New Roman"/>
          <w:b w:val="false"/>
          <w:bCs w:val="false"/>
          <w:i w:val="false"/>
          <w:iCs w:val="false"/>
          <w:sz w:val="20"/>
          <w:szCs w:val="20"/>
        </w:rPr>
        <w:t xml:space="preserve">Fonte: elaborada pelo autor (2026).</w:t>
      </w:r>
    </w:p>
    <w:p>
      <w:pPr>
        <w:pStyle w:val="Heading1"/>
        <w:pageBreakBefore/>
        <w:spacing w:after="360" w:before="0" w:line="360"/>
        <w:jc w:val="left"/>
      </w:pPr>
      <w:r>
        <w:rPr>
          <w:rFonts w:ascii="Times New Roman" w:cs="Times New Roman" w:eastAsia="Times New Roman" w:hAnsi="Times New Roman"/>
          <w:b/>
          <w:bCs/>
          <w:i w:val="false"/>
          <w:iCs w:val="false"/>
          <w:sz w:val="24"/>
          <w:szCs w:val="24"/>
        </w:rPr>
        <w:t xml:space="preserve">4 DESENVOLVIMENTO DO SISTEMA</w:t>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Este capítulo descreve o desenvolvimento da plataforma Ateliê Escolar, do levantamento do problema à solução implementada. A seção 4.1 apresenta os requisitos funcionais e não funcionais; a 4.2 discute a arquitetura adotada; a 4.3 detalha a modelagem do banco de dados; a 4.4 expõe as tecnologias empregadas e as razões de sua escolha; a 4.5 descreve a implementação das principais funcionalidades; a 4.6, por fim, trata dos mecanismos de segurança e da conformidade legal. Procurou-se preservar, ao longo de todo o capítulo, o vínculo entre as decisões técnicas e o problema da informalidade na comercialização de materiais didáticos autorais caracterizado nos capítulos anteriores, de maneira que cada escolha de projeto possa ser lida como resposta a uma dificuldade concreta enfrentada pelos professores da educação básica.</w:t>
      </w:r>
    </w:p>
    <w:p>
      <w:pPr>
        <w:pStyle w:val="Heading2"/>
        <w:spacing w:after="360" w:before="360" w:line="360"/>
        <w:jc w:val="left"/>
      </w:pPr>
      <w:r>
        <w:rPr>
          <w:rFonts w:ascii="Times New Roman" w:cs="Times New Roman" w:eastAsia="Times New Roman" w:hAnsi="Times New Roman"/>
          <w:b/>
          <w:bCs/>
          <w:i w:val="false"/>
          <w:iCs w:val="false"/>
          <w:sz w:val="24"/>
          <w:szCs w:val="24"/>
        </w:rPr>
        <w:t xml:space="preserve">4.1 Requisitos funcionais e não funcionais</w:t>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A especificação de requisitos constitui o ponto de partida da construção de um produto de </w:t>
      </w:r>
      <w:r>
        <w:rPr>
          <w:rFonts w:ascii="Times New Roman" w:cs="Times New Roman" w:eastAsia="Times New Roman" w:hAnsi="Times New Roman"/>
          <w:b w:val="false"/>
          <w:bCs w:val="false"/>
          <w:i/>
          <w:iCs/>
          <w:sz w:val="24"/>
          <w:szCs w:val="24"/>
        </w:rPr>
        <w:t xml:space="preserve">software</w:t>
      </w:r>
      <w:r>
        <w:rPr>
          <w:rFonts w:ascii="Times New Roman" w:cs="Times New Roman" w:eastAsia="Times New Roman" w:hAnsi="Times New Roman"/>
          <w:b w:val="false"/>
          <w:bCs w:val="false"/>
          <w:i w:val="false"/>
          <w:iCs w:val="false"/>
          <w:sz w:val="24"/>
          <w:szCs w:val="24"/>
        </w:rPr>
        <w:t xml:space="preserve">, pois converte as necessidades dos interessados em descrições verificáveis daquilo que o sistema deve fazer. Pressman e Maxim (2016) distinguem os requisitos funcionais, que expressam as funções e os serviços oferecidos aos usuários, dos requisitos não funcionais, que estabelecem restrições e atributos de qualidade, tais como segurança, desempenho e manutenibilidade. No caso do Ateliê Escolar, o levantamento partiu de três fontes complementares: a análise do problema da venda informal de materiais didáticos autorais, a observação de fluxos consolidados em soluções de </w:t>
      </w:r>
      <w:r>
        <w:rPr>
          <w:rFonts w:ascii="Times New Roman" w:cs="Times New Roman" w:eastAsia="Times New Roman" w:hAnsi="Times New Roman"/>
          <w:b w:val="false"/>
          <w:bCs w:val="false"/>
          <w:i/>
          <w:iCs/>
          <w:sz w:val="24"/>
          <w:szCs w:val="24"/>
        </w:rPr>
        <w:t xml:space="preserve">e-commerce</w:t>
      </w:r>
      <w:r>
        <w:rPr>
          <w:rFonts w:ascii="Times New Roman" w:cs="Times New Roman" w:eastAsia="Times New Roman" w:hAnsi="Times New Roman"/>
          <w:b w:val="false"/>
          <w:bCs w:val="false"/>
          <w:i w:val="false"/>
          <w:iCs w:val="false"/>
          <w:sz w:val="24"/>
          <w:szCs w:val="24"/>
        </w:rPr>
        <w:t xml:space="preserve"> e as exigências legais aplicáveis ao tratamento de dados pessoais.</w:t>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Do lado do comprador, a plataforma deve permitir localizar materiais por busca e por categorias, montar o carrinho, pagar com cartão, Pix ou boleto e receber o arquivo por </w:t>
      </w:r>
      <w:r>
        <w:rPr>
          <w:rFonts w:ascii="Times New Roman" w:cs="Times New Roman" w:eastAsia="Times New Roman" w:hAnsi="Times New Roman"/>
          <w:b w:val="false"/>
          <w:bCs w:val="false"/>
          <w:i/>
          <w:iCs/>
          <w:sz w:val="24"/>
          <w:szCs w:val="24"/>
        </w:rPr>
        <w:t xml:space="preserve">download</w:t>
      </w:r>
      <w:r>
        <w:rPr>
          <w:rFonts w:ascii="Times New Roman" w:cs="Times New Roman" w:eastAsia="Times New Roman" w:hAnsi="Times New Roman"/>
          <w:b w:val="false"/>
          <w:bCs w:val="false"/>
          <w:i w:val="false"/>
          <w:iCs w:val="false"/>
          <w:sz w:val="24"/>
          <w:szCs w:val="24"/>
        </w:rPr>
        <w:t xml:space="preserve"> logo após a aprovação do pagamento. Do lado do professor autor, exige-se um painel administrativo que centralize a gestão do catálogo e dos pedidos e ofereça indicadores comerciais para apoiar suas decisões. O quadro a seguir relaciona os requisitos funcionais definidos para a primeira versão da plataforma.</w:t>
      </w:r>
    </w:p>
    <w:p>
      <w:pPr>
        <w:spacing w:after="120" w:before="240" w:line="360"/>
        <w:jc w:val="center"/>
      </w:pPr>
      <w:r>
        <w:rPr>
          <w:rFonts w:ascii="Times New Roman" w:cs="Times New Roman" w:eastAsia="Times New Roman" w:hAnsi="Times New Roman"/>
          <w:b w:val="false"/>
          <w:bCs w:val="false"/>
          <w:i w:val="false"/>
          <w:iCs w:val="false"/>
          <w:sz w:val="24"/>
          <w:szCs w:val="24"/>
        </w:rPr>
        <w:t xml:space="preserve">Quadro 1 – Requisitos funcionais da plataforma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DDDDDD" w:val="clear"/>
          </w:tcPr>
          <w:p>
            <w:pPr>
              <w:spacing w:line="240"/>
              <w:jc w:val="left"/>
            </w:pPr>
            <w:r>
              <w:rPr>
                <w:rFonts w:ascii="Times New Roman" w:cs="Times New Roman" w:eastAsia="Times New Roman" w:hAnsi="Times New Roman"/>
                <w:b/>
                <w:bCs/>
                <w:i w:val="false"/>
                <w:iCs w:val="false"/>
                <w:sz w:val="22"/>
                <w:szCs w:val="22"/>
              </w:rPr>
              <w:t xml:space="preserve">Código</w:t>
            </w:r>
          </w:p>
        </w:tc>
        <w:tc>
          <w:tcPr>
            <w:shd w:fill="DDDDDD" w:val="clear"/>
          </w:tcPr>
          <w:p>
            <w:pPr>
              <w:spacing w:line="240"/>
              <w:jc w:val="left"/>
            </w:pPr>
            <w:r>
              <w:rPr>
                <w:rFonts w:ascii="Times New Roman" w:cs="Times New Roman" w:eastAsia="Times New Roman" w:hAnsi="Times New Roman"/>
                <w:b/>
                <w:bCs/>
                <w:i w:val="false"/>
                <w:iCs w:val="false"/>
                <w:sz w:val="22"/>
                <w:szCs w:val="22"/>
              </w:rPr>
              <w:t xml:space="preserve">Descrição</w:t>
            </w:r>
          </w:p>
        </w:tc>
      </w:tr>
      <w:tr>
        <w:trPr>
          <w:tblHeader w:val="false"/>
        </w:trPr>
        <w:tc>
          <w:p>
            <w:pPr>
              <w:spacing w:line="240"/>
              <w:jc w:val="left"/>
            </w:pPr>
            <w:r>
              <w:rPr>
                <w:rFonts w:ascii="Times New Roman" w:cs="Times New Roman" w:eastAsia="Times New Roman" w:hAnsi="Times New Roman"/>
                <w:b w:val="false"/>
                <w:bCs w:val="false"/>
                <w:i w:val="false"/>
                <w:iCs w:val="false"/>
                <w:sz w:val="22"/>
                <w:szCs w:val="22"/>
              </w:rPr>
              <w:t xml:space="preserve">RF01</w:t>
            </w:r>
          </w:p>
        </w:tc>
        <w:tc>
          <w:p>
            <w:pPr>
              <w:spacing w:line="240"/>
              <w:jc w:val="left"/>
            </w:pPr>
            <w:r>
              <w:rPr>
                <w:rFonts w:ascii="Times New Roman" w:cs="Times New Roman" w:eastAsia="Times New Roman" w:hAnsi="Times New Roman"/>
                <w:b w:val="false"/>
                <w:bCs w:val="false"/>
                <w:i w:val="false"/>
                <w:iCs w:val="false"/>
                <w:sz w:val="22"/>
                <w:szCs w:val="22"/>
              </w:rPr>
              <w:t xml:space="preserve">Manter catálogo de produtos com busca e navegação por categorias</w:t>
            </w:r>
          </w:p>
        </w:tc>
      </w:tr>
      <w:tr>
        <w:trPr>
          <w:tblHeader w:val="false"/>
        </w:trPr>
        <w:tc>
          <w:p>
            <w:pPr>
              <w:spacing w:line="240"/>
              <w:jc w:val="left"/>
            </w:pPr>
            <w:r>
              <w:rPr>
                <w:rFonts w:ascii="Times New Roman" w:cs="Times New Roman" w:eastAsia="Times New Roman" w:hAnsi="Times New Roman"/>
                <w:b w:val="false"/>
                <w:bCs w:val="false"/>
                <w:i w:val="false"/>
                <w:iCs w:val="false"/>
                <w:sz w:val="22"/>
                <w:szCs w:val="22"/>
              </w:rPr>
              <w:t xml:space="preserve">RF02</w:t>
            </w:r>
          </w:p>
        </w:tc>
        <w:tc>
          <w:p>
            <w:pPr>
              <w:spacing w:line="240"/>
              <w:jc w:val="left"/>
            </w:pPr>
            <w:r>
              <w:rPr>
                <w:rFonts w:ascii="Times New Roman" w:cs="Times New Roman" w:eastAsia="Times New Roman" w:hAnsi="Times New Roman"/>
                <w:b w:val="false"/>
                <w:bCs w:val="false"/>
                <w:i w:val="false"/>
                <w:iCs w:val="false"/>
                <w:sz w:val="22"/>
                <w:szCs w:val="22"/>
              </w:rPr>
              <w:t xml:space="preserve">Permitir a montagem de carrinho de compras com múltiplos itens</w:t>
            </w:r>
          </w:p>
        </w:tc>
      </w:tr>
      <w:tr>
        <w:trPr>
          <w:tblHeader w:val="false"/>
        </w:trPr>
        <w:tc>
          <w:p>
            <w:pPr>
              <w:spacing w:line="240"/>
              <w:jc w:val="left"/>
            </w:pPr>
            <w:r>
              <w:rPr>
                <w:rFonts w:ascii="Times New Roman" w:cs="Times New Roman" w:eastAsia="Times New Roman" w:hAnsi="Times New Roman"/>
                <w:b w:val="false"/>
                <w:bCs w:val="false"/>
                <w:i w:val="false"/>
                <w:iCs w:val="false"/>
                <w:sz w:val="22"/>
                <w:szCs w:val="22"/>
              </w:rPr>
              <w:t xml:space="preserve">RF03</w:t>
            </w:r>
          </w:p>
        </w:tc>
        <w:tc>
          <w:p>
            <w:pPr>
              <w:spacing w:line="240"/>
              <w:jc w:val="left"/>
            </w:pPr>
            <w:r>
              <w:rPr>
                <w:rFonts w:ascii="Times New Roman" w:cs="Times New Roman" w:eastAsia="Times New Roman" w:hAnsi="Times New Roman"/>
                <w:b w:val="false"/>
                <w:bCs w:val="false"/>
                <w:i w:val="false"/>
                <w:iCs w:val="false"/>
                <w:sz w:val="22"/>
                <w:szCs w:val="22"/>
              </w:rPr>
              <w:t xml:space="preserve">Realizar </w:t>
            </w:r>
            <w:r>
              <w:rPr>
                <w:rFonts w:ascii="Times New Roman" w:cs="Times New Roman" w:eastAsia="Times New Roman" w:hAnsi="Times New Roman"/>
                <w:b w:val="false"/>
                <w:bCs w:val="false"/>
                <w:i/>
                <w:iCs/>
                <w:sz w:val="22"/>
                <w:szCs w:val="22"/>
              </w:rPr>
              <w:t xml:space="preserve">checkout</w:t>
            </w:r>
            <w:r>
              <w:rPr>
                <w:rFonts w:ascii="Times New Roman" w:cs="Times New Roman" w:eastAsia="Times New Roman" w:hAnsi="Times New Roman"/>
                <w:b w:val="false"/>
                <w:bCs w:val="false"/>
                <w:i w:val="false"/>
                <w:iCs w:val="false"/>
                <w:sz w:val="22"/>
                <w:szCs w:val="22"/>
              </w:rPr>
              <w:t xml:space="preserve"> com pagamento via Mercado Pago (cartão, Pix e boleto)</w:t>
            </w:r>
          </w:p>
        </w:tc>
      </w:tr>
      <w:tr>
        <w:trPr>
          <w:tblHeader w:val="false"/>
        </w:trPr>
        <w:tc>
          <w:p>
            <w:pPr>
              <w:spacing w:line="240"/>
              <w:jc w:val="left"/>
            </w:pPr>
            <w:r>
              <w:rPr>
                <w:rFonts w:ascii="Times New Roman" w:cs="Times New Roman" w:eastAsia="Times New Roman" w:hAnsi="Times New Roman"/>
                <w:b w:val="false"/>
                <w:bCs w:val="false"/>
                <w:i w:val="false"/>
                <w:iCs w:val="false"/>
                <w:sz w:val="22"/>
                <w:szCs w:val="22"/>
              </w:rPr>
              <w:t xml:space="preserve">RF04</w:t>
            </w:r>
          </w:p>
        </w:tc>
        <w:tc>
          <w:p>
            <w:pPr>
              <w:spacing w:line="240"/>
              <w:jc w:val="left"/>
            </w:pPr>
            <w:r>
              <w:rPr>
                <w:rFonts w:ascii="Times New Roman" w:cs="Times New Roman" w:eastAsia="Times New Roman" w:hAnsi="Times New Roman"/>
                <w:b w:val="false"/>
                <w:bCs w:val="false"/>
                <w:i w:val="false"/>
                <w:iCs w:val="false"/>
                <w:sz w:val="22"/>
                <w:szCs w:val="22"/>
              </w:rPr>
              <w:t xml:space="preserve">Confirmar pagamentos automaticamente por meio de </w:t>
            </w:r>
            <w:r>
              <w:rPr>
                <w:rFonts w:ascii="Times New Roman" w:cs="Times New Roman" w:eastAsia="Times New Roman" w:hAnsi="Times New Roman"/>
                <w:b w:val="false"/>
                <w:bCs w:val="false"/>
                <w:i/>
                <w:iCs/>
                <w:sz w:val="22"/>
                <w:szCs w:val="22"/>
              </w:rPr>
              <w:t xml:space="preserve">webhook</w:t>
            </w:r>
          </w:p>
        </w:tc>
      </w:tr>
      <w:tr>
        <w:trPr>
          <w:tblHeader w:val="false"/>
        </w:trPr>
        <w:tc>
          <w:p>
            <w:pPr>
              <w:spacing w:line="240"/>
              <w:jc w:val="left"/>
            </w:pPr>
            <w:r>
              <w:rPr>
                <w:rFonts w:ascii="Times New Roman" w:cs="Times New Roman" w:eastAsia="Times New Roman" w:hAnsi="Times New Roman"/>
                <w:b w:val="false"/>
                <w:bCs w:val="false"/>
                <w:i w:val="false"/>
                <w:iCs w:val="false"/>
                <w:sz w:val="22"/>
                <w:szCs w:val="22"/>
              </w:rPr>
              <w:t xml:space="preserve">RF05</w:t>
            </w:r>
          </w:p>
        </w:tc>
        <w:tc>
          <w:p>
            <w:pPr>
              <w:spacing w:line="240"/>
              <w:jc w:val="left"/>
            </w:pPr>
            <w:r>
              <w:rPr>
                <w:rFonts w:ascii="Times New Roman" w:cs="Times New Roman" w:eastAsia="Times New Roman" w:hAnsi="Times New Roman"/>
                <w:b w:val="false"/>
                <w:bCs w:val="false"/>
                <w:i w:val="false"/>
                <w:iCs w:val="false"/>
                <w:sz w:val="22"/>
                <w:szCs w:val="22"/>
              </w:rPr>
              <w:t xml:space="preserve">Entregar os materiais por </w:t>
            </w:r>
            <w:r>
              <w:rPr>
                <w:rFonts w:ascii="Times New Roman" w:cs="Times New Roman" w:eastAsia="Times New Roman" w:hAnsi="Times New Roman"/>
                <w:b w:val="false"/>
                <w:bCs w:val="false"/>
                <w:i/>
                <w:iCs/>
                <w:sz w:val="22"/>
                <w:szCs w:val="22"/>
              </w:rPr>
              <w:t xml:space="preserve">download</w:t>
            </w:r>
            <w:r>
              <w:rPr>
                <w:rFonts w:ascii="Times New Roman" w:cs="Times New Roman" w:eastAsia="Times New Roman" w:hAnsi="Times New Roman"/>
                <w:b w:val="false"/>
                <w:bCs w:val="false"/>
                <w:i w:val="false"/>
                <w:iCs w:val="false"/>
                <w:sz w:val="22"/>
                <w:szCs w:val="22"/>
              </w:rPr>
              <w:t xml:space="preserve"> mediante </w:t>
            </w:r>
            <w:r>
              <w:rPr>
                <w:rFonts w:ascii="Times New Roman" w:cs="Times New Roman" w:eastAsia="Times New Roman" w:hAnsi="Times New Roman"/>
                <w:b w:val="false"/>
                <w:bCs w:val="false"/>
                <w:i/>
                <w:iCs/>
                <w:sz w:val="22"/>
                <w:szCs w:val="22"/>
              </w:rPr>
              <w:t xml:space="preserve">token</w:t>
            </w:r>
            <w:r>
              <w:rPr>
                <w:rFonts w:ascii="Times New Roman" w:cs="Times New Roman" w:eastAsia="Times New Roman" w:hAnsi="Times New Roman"/>
                <w:b w:val="false"/>
                <w:bCs w:val="false"/>
                <w:i w:val="false"/>
                <w:iCs w:val="false"/>
                <w:sz w:val="22"/>
                <w:szCs w:val="22"/>
              </w:rPr>
              <w:t xml:space="preserve"> com prazo de validade</w:t>
            </w:r>
          </w:p>
        </w:tc>
      </w:tr>
      <w:tr>
        <w:trPr>
          <w:tblHeader w:val="false"/>
        </w:trPr>
        <w:tc>
          <w:p>
            <w:pPr>
              <w:spacing w:line="240"/>
              <w:jc w:val="left"/>
            </w:pPr>
            <w:r>
              <w:rPr>
                <w:rFonts w:ascii="Times New Roman" w:cs="Times New Roman" w:eastAsia="Times New Roman" w:hAnsi="Times New Roman"/>
                <w:b w:val="false"/>
                <w:bCs w:val="false"/>
                <w:i w:val="false"/>
                <w:iCs w:val="false"/>
                <w:sz w:val="22"/>
                <w:szCs w:val="22"/>
              </w:rPr>
              <w:t xml:space="preserve">RF06</w:t>
            </w:r>
          </w:p>
        </w:tc>
        <w:tc>
          <w:p>
            <w:pPr>
              <w:spacing w:line="240"/>
              <w:jc w:val="left"/>
            </w:pPr>
            <w:r>
              <w:rPr>
                <w:rFonts w:ascii="Times New Roman" w:cs="Times New Roman" w:eastAsia="Times New Roman" w:hAnsi="Times New Roman"/>
                <w:b w:val="false"/>
                <w:bCs w:val="false"/>
                <w:i w:val="false"/>
                <w:iCs w:val="false"/>
                <w:sz w:val="22"/>
                <w:szCs w:val="22"/>
              </w:rPr>
              <w:t xml:space="preserve">Permitir cadastro e </w:t>
            </w:r>
            <w:r>
              <w:rPr>
                <w:rFonts w:ascii="Times New Roman" w:cs="Times New Roman" w:eastAsia="Times New Roman" w:hAnsi="Times New Roman"/>
                <w:b w:val="false"/>
                <w:bCs w:val="false"/>
                <w:i/>
                <w:iCs/>
                <w:sz w:val="22"/>
                <w:szCs w:val="22"/>
              </w:rPr>
              <w:t xml:space="preserve">login</w:t>
            </w:r>
            <w:r>
              <w:rPr>
                <w:rFonts w:ascii="Times New Roman" w:cs="Times New Roman" w:eastAsia="Times New Roman" w:hAnsi="Times New Roman"/>
                <w:b w:val="false"/>
                <w:bCs w:val="false"/>
                <w:i w:val="false"/>
                <w:iCs w:val="false"/>
                <w:sz w:val="22"/>
                <w:szCs w:val="22"/>
              </w:rPr>
              <w:t xml:space="preserve"> de clientes por e-mail e senha ou conta Google</w:t>
            </w:r>
          </w:p>
        </w:tc>
      </w:tr>
      <w:tr>
        <w:trPr>
          <w:tblHeader w:val="false"/>
        </w:trPr>
        <w:tc>
          <w:p>
            <w:pPr>
              <w:spacing w:line="240"/>
              <w:jc w:val="left"/>
            </w:pPr>
            <w:r>
              <w:rPr>
                <w:rFonts w:ascii="Times New Roman" w:cs="Times New Roman" w:eastAsia="Times New Roman" w:hAnsi="Times New Roman"/>
                <w:b w:val="false"/>
                <w:bCs w:val="false"/>
                <w:i w:val="false"/>
                <w:iCs w:val="false"/>
                <w:sz w:val="22"/>
                <w:szCs w:val="22"/>
              </w:rPr>
              <w:t xml:space="preserve">RF07</w:t>
            </w:r>
          </w:p>
        </w:tc>
        <w:tc>
          <w:p>
            <w:pPr>
              <w:spacing w:line="240"/>
              <w:jc w:val="left"/>
            </w:pPr>
            <w:r>
              <w:rPr>
                <w:rFonts w:ascii="Times New Roman" w:cs="Times New Roman" w:eastAsia="Times New Roman" w:hAnsi="Times New Roman"/>
                <w:b w:val="false"/>
                <w:bCs w:val="false"/>
                <w:i w:val="false"/>
                <w:iCs w:val="false"/>
                <w:sz w:val="22"/>
                <w:szCs w:val="22"/>
              </w:rPr>
              <w:t xml:space="preserve">Oferecer recuperação de senha por e-mail</w:t>
            </w:r>
          </w:p>
        </w:tc>
      </w:tr>
      <w:tr>
        <w:trPr>
          <w:tblHeader w:val="false"/>
        </w:trPr>
        <w:tc>
          <w:p>
            <w:pPr>
              <w:spacing w:line="240"/>
              <w:jc w:val="left"/>
            </w:pPr>
            <w:r>
              <w:rPr>
                <w:rFonts w:ascii="Times New Roman" w:cs="Times New Roman" w:eastAsia="Times New Roman" w:hAnsi="Times New Roman"/>
                <w:b w:val="false"/>
                <w:bCs w:val="false"/>
                <w:i w:val="false"/>
                <w:iCs w:val="false"/>
                <w:sz w:val="22"/>
                <w:szCs w:val="22"/>
              </w:rPr>
              <w:t xml:space="preserve">RF08</w:t>
            </w:r>
          </w:p>
        </w:tc>
        <w:tc>
          <w:p>
            <w:pPr>
              <w:spacing w:line="240"/>
              <w:jc w:val="left"/>
            </w:pPr>
            <w:r>
              <w:rPr>
                <w:rFonts w:ascii="Times New Roman" w:cs="Times New Roman" w:eastAsia="Times New Roman" w:hAnsi="Times New Roman"/>
                <w:b w:val="false"/>
                <w:bCs w:val="false"/>
                <w:i w:val="false"/>
                <w:iCs w:val="false"/>
                <w:sz w:val="22"/>
                <w:szCs w:val="22"/>
              </w:rPr>
              <w:t xml:space="preserve">Exibir o histórico de pedidos do cliente autenticado</w:t>
            </w:r>
          </w:p>
        </w:tc>
      </w:tr>
      <w:tr>
        <w:trPr>
          <w:tblHeader w:val="false"/>
        </w:trPr>
        <w:tc>
          <w:p>
            <w:pPr>
              <w:spacing w:line="240"/>
              <w:jc w:val="left"/>
            </w:pPr>
            <w:r>
              <w:rPr>
                <w:rFonts w:ascii="Times New Roman" w:cs="Times New Roman" w:eastAsia="Times New Roman" w:hAnsi="Times New Roman"/>
                <w:b w:val="false"/>
                <w:bCs w:val="false"/>
                <w:i w:val="false"/>
                <w:iCs w:val="false"/>
                <w:sz w:val="22"/>
                <w:szCs w:val="22"/>
              </w:rPr>
              <w:t xml:space="preserve">RF09</w:t>
            </w:r>
          </w:p>
        </w:tc>
        <w:tc>
          <w:p>
            <w:pPr>
              <w:spacing w:line="240"/>
              <w:jc w:val="left"/>
            </w:pPr>
            <w:r>
              <w:rPr>
                <w:rFonts w:ascii="Times New Roman" w:cs="Times New Roman" w:eastAsia="Times New Roman" w:hAnsi="Times New Roman"/>
                <w:b w:val="false"/>
                <w:bCs w:val="false"/>
                <w:i w:val="false"/>
                <w:iCs w:val="false"/>
                <w:sz w:val="22"/>
                <w:szCs w:val="22"/>
              </w:rPr>
              <w:t xml:space="preserve">Aplicar cupons de desconto validados no servidor</w:t>
            </w:r>
          </w:p>
        </w:tc>
      </w:tr>
      <w:tr>
        <w:trPr>
          <w:tblHeader w:val="false"/>
        </w:trPr>
        <w:tc>
          <w:p>
            <w:pPr>
              <w:spacing w:line="240"/>
              <w:jc w:val="left"/>
            </w:pPr>
            <w:r>
              <w:rPr>
                <w:rFonts w:ascii="Times New Roman" w:cs="Times New Roman" w:eastAsia="Times New Roman" w:hAnsi="Times New Roman"/>
                <w:b w:val="false"/>
                <w:bCs w:val="false"/>
                <w:i w:val="false"/>
                <w:iCs w:val="false"/>
                <w:sz w:val="22"/>
                <w:szCs w:val="22"/>
              </w:rPr>
              <w:t xml:space="preserve">RF10</w:t>
            </w:r>
          </w:p>
        </w:tc>
        <w:tc>
          <w:p>
            <w:pPr>
              <w:spacing w:line="240"/>
              <w:jc w:val="left"/>
            </w:pPr>
            <w:r>
              <w:rPr>
                <w:rFonts w:ascii="Times New Roman" w:cs="Times New Roman" w:eastAsia="Times New Roman" w:hAnsi="Times New Roman"/>
                <w:b w:val="false"/>
                <w:bCs w:val="false"/>
                <w:i w:val="false"/>
                <w:iCs w:val="false"/>
                <w:sz w:val="22"/>
                <w:szCs w:val="22"/>
              </w:rPr>
              <w:t xml:space="preserve">Disponibilizar painel administrativo para produtos, categorias, pedidos, usuários, cupons e configurações</w:t>
            </w:r>
          </w:p>
        </w:tc>
      </w:tr>
      <w:tr>
        <w:trPr>
          <w:tblHeader w:val="false"/>
        </w:trPr>
        <w:tc>
          <w:p>
            <w:pPr>
              <w:spacing w:line="240"/>
              <w:jc w:val="left"/>
            </w:pPr>
            <w:r>
              <w:rPr>
                <w:rFonts w:ascii="Times New Roman" w:cs="Times New Roman" w:eastAsia="Times New Roman" w:hAnsi="Times New Roman"/>
                <w:b w:val="false"/>
                <w:bCs w:val="false"/>
                <w:i w:val="false"/>
                <w:iCs w:val="false"/>
                <w:sz w:val="22"/>
                <w:szCs w:val="22"/>
              </w:rPr>
              <w:t xml:space="preserve">RF11</w:t>
            </w:r>
          </w:p>
        </w:tc>
        <w:tc>
          <w:p>
            <w:pPr>
              <w:spacing w:line="240"/>
              <w:jc w:val="left"/>
            </w:pPr>
            <w:r>
              <w:rPr>
                <w:rFonts w:ascii="Times New Roman" w:cs="Times New Roman" w:eastAsia="Times New Roman" w:hAnsi="Times New Roman"/>
                <w:b w:val="false"/>
                <w:bCs w:val="false"/>
                <w:i w:val="false"/>
                <w:iCs w:val="false"/>
                <w:sz w:val="22"/>
                <w:szCs w:val="22"/>
              </w:rPr>
              <w:t xml:space="preserve">Gerar relatórios analíticos de vendas, funil de conversão e segmentação de clientes</w:t>
            </w:r>
          </w:p>
        </w:tc>
      </w:tr>
      <w:tr>
        <w:trPr>
          <w:tblHeader w:val="false"/>
        </w:trPr>
        <w:tc>
          <w:p>
            <w:pPr>
              <w:spacing w:line="240"/>
              <w:jc w:val="left"/>
            </w:pPr>
            <w:r>
              <w:rPr>
                <w:rFonts w:ascii="Times New Roman" w:cs="Times New Roman" w:eastAsia="Times New Roman" w:hAnsi="Times New Roman"/>
                <w:b w:val="false"/>
                <w:bCs w:val="false"/>
                <w:i w:val="false"/>
                <w:iCs w:val="false"/>
                <w:sz w:val="22"/>
                <w:szCs w:val="22"/>
              </w:rPr>
              <w:t xml:space="preserve">RF12</w:t>
            </w:r>
          </w:p>
        </w:tc>
        <w:tc>
          <w:p>
            <w:pPr>
              <w:spacing w:line="240"/>
              <w:jc w:val="left"/>
            </w:pPr>
            <w:r>
              <w:rPr>
                <w:rFonts w:ascii="Times New Roman" w:cs="Times New Roman" w:eastAsia="Times New Roman" w:hAnsi="Times New Roman"/>
                <w:b w:val="false"/>
                <w:bCs w:val="false"/>
                <w:i w:val="false"/>
                <w:iCs w:val="false"/>
                <w:sz w:val="22"/>
                <w:szCs w:val="22"/>
              </w:rPr>
              <w:t xml:space="preserve">Registrar as ações administrativas em </w:t>
            </w:r>
            <w:r>
              <w:rPr>
                <w:rFonts w:ascii="Times New Roman" w:cs="Times New Roman" w:eastAsia="Times New Roman" w:hAnsi="Times New Roman"/>
                <w:b w:val="false"/>
                <w:bCs w:val="false"/>
                <w:i/>
                <w:iCs/>
                <w:sz w:val="22"/>
                <w:szCs w:val="22"/>
              </w:rPr>
              <w:t xml:space="preserve">log</w:t>
            </w:r>
            <w:r>
              <w:rPr>
                <w:rFonts w:ascii="Times New Roman" w:cs="Times New Roman" w:eastAsia="Times New Roman" w:hAnsi="Times New Roman"/>
                <w:b w:val="false"/>
                <w:bCs w:val="false"/>
                <w:i w:val="false"/>
                <w:iCs w:val="false"/>
                <w:sz w:val="22"/>
                <w:szCs w:val="22"/>
              </w:rPr>
              <w:t xml:space="preserve"> de auditoria</w:t>
            </w:r>
          </w:p>
        </w:tc>
      </w:tr>
      <w:tr>
        <w:trPr>
          <w:tblHeader w:val="false"/>
        </w:trPr>
        <w:tc>
          <w:p>
            <w:pPr>
              <w:spacing w:line="240"/>
              <w:jc w:val="left"/>
            </w:pPr>
            <w:r>
              <w:rPr>
                <w:rFonts w:ascii="Times New Roman" w:cs="Times New Roman" w:eastAsia="Times New Roman" w:hAnsi="Times New Roman"/>
                <w:b w:val="false"/>
                <w:bCs w:val="false"/>
                <w:i w:val="false"/>
                <w:iCs w:val="false"/>
                <w:sz w:val="22"/>
                <w:szCs w:val="22"/>
              </w:rPr>
              <w:t xml:space="preserve">RF13</w:t>
            </w:r>
          </w:p>
        </w:tc>
        <w:tc>
          <w:p>
            <w:pPr>
              <w:spacing w:line="240"/>
              <w:jc w:val="left"/>
            </w:pPr>
            <w:r>
              <w:rPr>
                <w:rFonts w:ascii="Times New Roman" w:cs="Times New Roman" w:eastAsia="Times New Roman" w:hAnsi="Times New Roman"/>
                <w:b w:val="false"/>
                <w:bCs w:val="false"/>
                <w:i w:val="false"/>
                <w:iCs w:val="false"/>
                <w:sz w:val="22"/>
                <w:szCs w:val="22"/>
              </w:rPr>
              <w:t xml:space="preserve">Permitir a exclusão de conta em autosserviço pelo titular dos dados</w:t>
            </w:r>
          </w:p>
        </w:tc>
      </w:tr>
    </w:tbl>
    <w:p>
      <w:pPr>
        <w:spacing w:after="360" w:before="120" w:line="240"/>
        <w:jc w:val="center"/>
      </w:pPr>
      <w:r>
        <w:rPr>
          <w:rFonts w:ascii="Times New Roman" w:cs="Times New Roman" w:eastAsia="Times New Roman" w:hAnsi="Times New Roman"/>
          <w:b w:val="false"/>
          <w:bCs w:val="false"/>
          <w:i w:val="false"/>
          <w:iCs w:val="false"/>
          <w:sz w:val="20"/>
          <w:szCs w:val="20"/>
        </w:rPr>
        <w:t xml:space="preserve">Fonte: elaborado pelo autor (2026).</w:t>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Alguns itens do quadro merecem comentário. A confirmação automática por </w:t>
      </w:r>
      <w:r>
        <w:rPr>
          <w:rFonts w:ascii="Times New Roman" w:cs="Times New Roman" w:eastAsia="Times New Roman" w:hAnsi="Times New Roman"/>
          <w:b w:val="false"/>
          <w:bCs w:val="false"/>
          <w:i/>
          <w:iCs/>
          <w:sz w:val="24"/>
          <w:szCs w:val="24"/>
        </w:rPr>
        <w:t xml:space="preserve">webhook</w:t>
      </w:r>
      <w:r>
        <w:rPr>
          <w:rFonts w:ascii="Times New Roman" w:cs="Times New Roman" w:eastAsia="Times New Roman" w:hAnsi="Times New Roman"/>
          <w:b w:val="false"/>
          <w:bCs w:val="false"/>
          <w:i w:val="false"/>
          <w:iCs w:val="false"/>
          <w:sz w:val="24"/>
          <w:szCs w:val="24"/>
        </w:rPr>
        <w:t xml:space="preserve"> (RF04) elimina a conferência manual de comprovantes, prática recorrente nos canais informais, enquanto a entrega por </w:t>
      </w:r>
      <w:r>
        <w:rPr>
          <w:rFonts w:ascii="Times New Roman" w:cs="Times New Roman" w:eastAsia="Times New Roman" w:hAnsi="Times New Roman"/>
          <w:b w:val="false"/>
          <w:bCs w:val="false"/>
          <w:i/>
          <w:iCs/>
          <w:sz w:val="24"/>
          <w:szCs w:val="24"/>
        </w:rPr>
        <w:t xml:space="preserve">token</w:t>
      </w:r>
      <w:r>
        <w:rPr>
          <w:rFonts w:ascii="Times New Roman" w:cs="Times New Roman" w:eastAsia="Times New Roman" w:hAnsi="Times New Roman"/>
          <w:b w:val="false"/>
          <w:bCs w:val="false"/>
          <w:i w:val="false"/>
          <w:iCs w:val="false"/>
          <w:sz w:val="24"/>
          <w:szCs w:val="24"/>
        </w:rPr>
        <w:t xml:space="preserve"> temporário (RF05) protege o arquivo contra a distribuição indiscriminada que ocorre quando o material circula em pastas abertas de armazenamento em nuvem. Já o </w:t>
      </w:r>
      <w:r>
        <w:rPr>
          <w:rFonts w:ascii="Times New Roman" w:cs="Times New Roman" w:eastAsia="Times New Roman" w:hAnsi="Times New Roman"/>
          <w:b w:val="false"/>
          <w:bCs w:val="false"/>
          <w:i/>
          <w:iCs/>
          <w:sz w:val="24"/>
          <w:szCs w:val="24"/>
        </w:rPr>
        <w:t xml:space="preserve">log</w:t>
      </w:r>
      <w:r>
        <w:rPr>
          <w:rFonts w:ascii="Times New Roman" w:cs="Times New Roman" w:eastAsia="Times New Roman" w:hAnsi="Times New Roman"/>
          <w:b w:val="false"/>
          <w:bCs w:val="false"/>
          <w:i w:val="false"/>
          <w:iCs w:val="false"/>
          <w:sz w:val="24"/>
          <w:szCs w:val="24"/>
        </w:rPr>
        <w:t xml:space="preserve"> de auditoria (RF12) e a exclusão de conta pelo titular (RF13) respondem, respectivamente, à necessidade de rastrear as ações administrativas e ao direito de eliminação de dados assegurado pela Lei Geral de Proteção de Dados Pessoais (BRASIL, 2018a).</w:t>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Os requisitos não funcionais, por sua vez, delimitam o modo como essas funções devem ser entregues. Dado que a plataforma manipula dados pessoais e transações financeiras, a segurança recebeu tratamento prioritário, com controles aplicados desde o banco de dados até a camada de apresentação. O quadro a seguir sintetiza os atributos de qualidade estabelecidos para o projeto.</w:t>
      </w:r>
    </w:p>
    <w:p>
      <w:pPr>
        <w:spacing w:after="120" w:before="240" w:line="360"/>
        <w:jc w:val="center"/>
      </w:pPr>
      <w:r>
        <w:rPr>
          <w:rFonts w:ascii="Times New Roman" w:cs="Times New Roman" w:eastAsia="Times New Roman" w:hAnsi="Times New Roman"/>
          <w:b w:val="false"/>
          <w:bCs w:val="false"/>
          <w:i w:val="false"/>
          <w:iCs w:val="false"/>
          <w:sz w:val="24"/>
          <w:szCs w:val="24"/>
        </w:rPr>
        <w:t xml:space="preserve">Quadro 2 – Requisitos não funcionais da plataforma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DDDDDD" w:val="clear"/>
          </w:tcPr>
          <w:p>
            <w:pPr>
              <w:spacing w:line="240"/>
              <w:jc w:val="left"/>
            </w:pPr>
            <w:r>
              <w:rPr>
                <w:rFonts w:ascii="Times New Roman" w:cs="Times New Roman" w:eastAsia="Times New Roman" w:hAnsi="Times New Roman"/>
                <w:b/>
                <w:bCs/>
                <w:i w:val="false"/>
                <w:iCs w:val="false"/>
                <w:sz w:val="22"/>
                <w:szCs w:val="22"/>
              </w:rPr>
              <w:t xml:space="preserve">Código</w:t>
            </w:r>
          </w:p>
        </w:tc>
        <w:tc>
          <w:tcPr>
            <w:shd w:fill="DDDDDD" w:val="clear"/>
          </w:tcPr>
          <w:p>
            <w:pPr>
              <w:spacing w:line="240"/>
              <w:jc w:val="left"/>
            </w:pPr>
            <w:r>
              <w:rPr>
                <w:rFonts w:ascii="Times New Roman" w:cs="Times New Roman" w:eastAsia="Times New Roman" w:hAnsi="Times New Roman"/>
                <w:b/>
                <w:bCs/>
                <w:i w:val="false"/>
                <w:iCs w:val="false"/>
                <w:sz w:val="22"/>
                <w:szCs w:val="22"/>
              </w:rPr>
              <w:t xml:space="preserve">Descrição</w:t>
            </w:r>
          </w:p>
        </w:tc>
      </w:tr>
      <w:tr>
        <w:trPr>
          <w:tblHeader w:val="false"/>
        </w:trPr>
        <w:tc>
          <w:p>
            <w:pPr>
              <w:spacing w:line="240"/>
              <w:jc w:val="left"/>
            </w:pPr>
            <w:r>
              <w:rPr>
                <w:rFonts w:ascii="Times New Roman" w:cs="Times New Roman" w:eastAsia="Times New Roman" w:hAnsi="Times New Roman"/>
                <w:b w:val="false"/>
                <w:bCs w:val="false"/>
                <w:i w:val="false"/>
                <w:iCs w:val="false"/>
                <w:sz w:val="22"/>
                <w:szCs w:val="22"/>
              </w:rPr>
              <w:t xml:space="preserve">RNF01</w:t>
            </w:r>
          </w:p>
        </w:tc>
        <w:tc>
          <w:p>
            <w:pPr>
              <w:spacing w:line="240"/>
              <w:jc w:val="left"/>
            </w:pPr>
            <w:r>
              <w:rPr>
                <w:rFonts w:ascii="Times New Roman" w:cs="Times New Roman" w:eastAsia="Times New Roman" w:hAnsi="Times New Roman"/>
                <w:b w:val="false"/>
                <w:bCs w:val="false"/>
                <w:i w:val="false"/>
                <w:iCs w:val="false"/>
                <w:sz w:val="22"/>
                <w:szCs w:val="22"/>
              </w:rPr>
              <w:t xml:space="preserve">Segurança: </w:t>
            </w:r>
            <w:r>
              <w:rPr>
                <w:rFonts w:ascii="Times New Roman" w:cs="Times New Roman" w:eastAsia="Times New Roman" w:hAnsi="Times New Roman"/>
                <w:b w:val="false"/>
                <w:bCs w:val="false"/>
                <w:i/>
                <w:iCs/>
                <w:sz w:val="22"/>
                <w:szCs w:val="22"/>
              </w:rPr>
              <w:t xml:space="preserve">Row Level Security</w:t>
            </w:r>
            <w:r>
              <w:rPr>
                <w:rFonts w:ascii="Times New Roman" w:cs="Times New Roman" w:eastAsia="Times New Roman" w:hAnsi="Times New Roman"/>
                <w:b w:val="false"/>
                <w:bCs w:val="false"/>
                <w:i w:val="false"/>
                <w:iCs w:val="false"/>
                <w:sz w:val="22"/>
                <w:szCs w:val="22"/>
              </w:rPr>
              <w:t xml:space="preserve"> em todas as tabelas, sessões em </w:t>
            </w:r>
            <w:r>
              <w:rPr>
                <w:rFonts w:ascii="Times New Roman" w:cs="Times New Roman" w:eastAsia="Times New Roman" w:hAnsi="Times New Roman"/>
                <w:b w:val="false"/>
                <w:bCs w:val="false"/>
                <w:i/>
                <w:iCs/>
                <w:sz w:val="22"/>
                <w:szCs w:val="22"/>
              </w:rPr>
              <w:t xml:space="preserve">cookies</w:t>
            </w:r>
            <w:r>
              <w:rPr>
                <w:rFonts w:ascii="Times New Roman" w:cs="Times New Roman" w:eastAsia="Times New Roman" w:hAnsi="Times New Roman"/>
                <w:b w:val="false"/>
                <w:bCs w:val="false"/>
                <w:i w:val="false"/>
                <w:iCs w:val="false"/>
                <w:sz w:val="22"/>
                <w:szCs w:val="22"/>
              </w:rPr>
              <w:t xml:space="preserve"> HttpOnly e segundo fator de autenticação opcional no painel administrativo</w:t>
            </w:r>
          </w:p>
        </w:tc>
      </w:tr>
      <w:tr>
        <w:trPr>
          <w:tblHeader w:val="false"/>
        </w:trPr>
        <w:tc>
          <w:p>
            <w:pPr>
              <w:spacing w:line="240"/>
              <w:jc w:val="left"/>
            </w:pPr>
            <w:r>
              <w:rPr>
                <w:rFonts w:ascii="Times New Roman" w:cs="Times New Roman" w:eastAsia="Times New Roman" w:hAnsi="Times New Roman"/>
                <w:b w:val="false"/>
                <w:bCs w:val="false"/>
                <w:i w:val="false"/>
                <w:iCs w:val="false"/>
                <w:sz w:val="22"/>
                <w:szCs w:val="22"/>
              </w:rPr>
              <w:t xml:space="preserve">RNF02</w:t>
            </w:r>
          </w:p>
        </w:tc>
        <w:tc>
          <w:p>
            <w:pPr>
              <w:spacing w:line="240"/>
              <w:jc w:val="left"/>
            </w:pPr>
            <w:r>
              <w:rPr>
                <w:rFonts w:ascii="Times New Roman" w:cs="Times New Roman" w:eastAsia="Times New Roman" w:hAnsi="Times New Roman"/>
                <w:b w:val="false"/>
                <w:bCs w:val="false"/>
                <w:i w:val="false"/>
                <w:iCs w:val="false"/>
                <w:sz w:val="22"/>
                <w:szCs w:val="22"/>
              </w:rPr>
              <w:t xml:space="preserve">Conformidade com a LGPD: minimização de dados, consentimento para rastreamento e exclusão de conta pelo titular</w:t>
            </w:r>
          </w:p>
        </w:tc>
      </w:tr>
      <w:tr>
        <w:trPr>
          <w:tblHeader w:val="false"/>
        </w:trPr>
        <w:tc>
          <w:p>
            <w:pPr>
              <w:spacing w:line="240"/>
              <w:jc w:val="left"/>
            </w:pPr>
            <w:r>
              <w:rPr>
                <w:rFonts w:ascii="Times New Roman" w:cs="Times New Roman" w:eastAsia="Times New Roman" w:hAnsi="Times New Roman"/>
                <w:b w:val="false"/>
                <w:bCs w:val="false"/>
                <w:i w:val="false"/>
                <w:iCs w:val="false"/>
                <w:sz w:val="22"/>
                <w:szCs w:val="22"/>
              </w:rPr>
              <w:t xml:space="preserve">RNF03</w:t>
            </w:r>
          </w:p>
        </w:tc>
        <w:tc>
          <w:p>
            <w:pPr>
              <w:spacing w:line="240"/>
              <w:jc w:val="left"/>
            </w:pPr>
            <w:r>
              <w:rPr>
                <w:rFonts w:ascii="Times New Roman" w:cs="Times New Roman" w:eastAsia="Times New Roman" w:hAnsi="Times New Roman"/>
                <w:b w:val="false"/>
                <w:bCs w:val="false"/>
                <w:i w:val="false"/>
                <w:iCs w:val="false"/>
                <w:sz w:val="22"/>
                <w:szCs w:val="22"/>
              </w:rPr>
              <w:t xml:space="preserve">Desempenho: tempos de resposta adequados nas consultas ao catálogo e limitação de taxa de requisições para preservar a estabilidade</w:t>
            </w:r>
          </w:p>
        </w:tc>
      </w:tr>
      <w:tr>
        <w:trPr>
          <w:tblHeader w:val="false"/>
        </w:trPr>
        <w:tc>
          <w:p>
            <w:pPr>
              <w:spacing w:line="240"/>
              <w:jc w:val="left"/>
            </w:pPr>
            <w:r>
              <w:rPr>
                <w:rFonts w:ascii="Times New Roman" w:cs="Times New Roman" w:eastAsia="Times New Roman" w:hAnsi="Times New Roman"/>
                <w:b w:val="false"/>
                <w:bCs w:val="false"/>
                <w:i w:val="false"/>
                <w:iCs w:val="false"/>
                <w:sz w:val="22"/>
                <w:szCs w:val="22"/>
              </w:rPr>
              <w:t xml:space="preserve">RNF04</w:t>
            </w:r>
          </w:p>
        </w:tc>
        <w:tc>
          <w:p>
            <w:pPr>
              <w:spacing w:line="240"/>
              <w:jc w:val="left"/>
            </w:pPr>
            <w:r>
              <w:rPr>
                <w:rFonts w:ascii="Times New Roman" w:cs="Times New Roman" w:eastAsia="Times New Roman" w:hAnsi="Times New Roman"/>
                <w:b w:val="false"/>
                <w:bCs w:val="false"/>
                <w:i w:val="false"/>
                <w:iCs w:val="false"/>
                <w:sz w:val="22"/>
                <w:szCs w:val="22"/>
              </w:rPr>
              <w:t xml:space="preserve">Disponibilidade: hospedagem em nuvem com funções </w:t>
            </w:r>
            <w:r>
              <w:rPr>
                <w:rFonts w:ascii="Times New Roman" w:cs="Times New Roman" w:eastAsia="Times New Roman" w:hAnsi="Times New Roman"/>
                <w:b w:val="false"/>
                <w:bCs w:val="false"/>
                <w:i/>
                <w:iCs/>
                <w:sz w:val="22"/>
                <w:szCs w:val="22"/>
              </w:rPr>
              <w:t xml:space="preserve">serverless</w:t>
            </w:r>
            <w:r>
              <w:rPr>
                <w:rFonts w:ascii="Times New Roman" w:cs="Times New Roman" w:eastAsia="Times New Roman" w:hAnsi="Times New Roman"/>
                <w:b w:val="false"/>
                <w:bCs w:val="false"/>
                <w:i w:val="false"/>
                <w:iCs w:val="false"/>
                <w:sz w:val="22"/>
                <w:szCs w:val="22"/>
              </w:rPr>
              <w:t xml:space="preserve"> e banco de dados gerenciado</w:t>
            </w:r>
          </w:p>
        </w:tc>
      </w:tr>
      <w:tr>
        <w:trPr>
          <w:tblHeader w:val="false"/>
        </w:trPr>
        <w:tc>
          <w:p>
            <w:pPr>
              <w:spacing w:line="240"/>
              <w:jc w:val="left"/>
            </w:pPr>
            <w:r>
              <w:rPr>
                <w:rFonts w:ascii="Times New Roman" w:cs="Times New Roman" w:eastAsia="Times New Roman" w:hAnsi="Times New Roman"/>
                <w:b w:val="false"/>
                <w:bCs w:val="false"/>
                <w:i w:val="false"/>
                <w:iCs w:val="false"/>
                <w:sz w:val="22"/>
                <w:szCs w:val="22"/>
              </w:rPr>
              <w:t xml:space="preserve">RNF05</w:t>
            </w:r>
          </w:p>
        </w:tc>
        <w:tc>
          <w:p>
            <w:pPr>
              <w:spacing w:line="240"/>
              <w:jc w:val="left"/>
            </w:pPr>
            <w:r>
              <w:rPr>
                <w:rFonts w:ascii="Times New Roman" w:cs="Times New Roman" w:eastAsia="Times New Roman" w:hAnsi="Times New Roman"/>
                <w:b w:val="false"/>
                <w:bCs w:val="false"/>
                <w:i w:val="false"/>
                <w:iCs w:val="false"/>
                <w:sz w:val="22"/>
                <w:szCs w:val="22"/>
              </w:rPr>
              <w:t xml:space="preserve">Usabilidade: interface responsiva, adequada a computadores e dispositivos móveis</w:t>
            </w:r>
          </w:p>
        </w:tc>
      </w:tr>
      <w:tr>
        <w:trPr>
          <w:tblHeader w:val="false"/>
        </w:trPr>
        <w:tc>
          <w:p>
            <w:pPr>
              <w:spacing w:line="240"/>
              <w:jc w:val="left"/>
            </w:pPr>
            <w:r>
              <w:rPr>
                <w:rFonts w:ascii="Times New Roman" w:cs="Times New Roman" w:eastAsia="Times New Roman" w:hAnsi="Times New Roman"/>
                <w:b w:val="false"/>
                <w:bCs w:val="false"/>
                <w:i w:val="false"/>
                <w:iCs w:val="false"/>
                <w:sz w:val="22"/>
                <w:szCs w:val="22"/>
              </w:rPr>
              <w:t xml:space="preserve">RNF06</w:t>
            </w:r>
          </w:p>
        </w:tc>
        <w:tc>
          <w:p>
            <w:pPr>
              <w:spacing w:line="240"/>
              <w:jc w:val="left"/>
            </w:pPr>
            <w:r>
              <w:rPr>
                <w:rFonts w:ascii="Times New Roman" w:cs="Times New Roman" w:eastAsia="Times New Roman" w:hAnsi="Times New Roman"/>
                <w:b w:val="false"/>
                <w:bCs w:val="false"/>
                <w:i w:val="false"/>
                <w:iCs w:val="false"/>
                <w:sz w:val="22"/>
                <w:szCs w:val="22"/>
              </w:rPr>
              <w:t xml:space="preserve">Manutenibilidade: componentização do </w:t>
            </w:r>
            <w:r>
              <w:rPr>
                <w:rFonts w:ascii="Times New Roman" w:cs="Times New Roman" w:eastAsia="Times New Roman" w:hAnsi="Times New Roman"/>
                <w:b w:val="false"/>
                <w:bCs w:val="false"/>
                <w:i/>
                <w:iCs/>
                <w:sz w:val="22"/>
                <w:szCs w:val="22"/>
              </w:rPr>
              <w:t xml:space="preserve">front-end</w:t>
            </w:r>
            <w:r>
              <w:rPr>
                <w:rFonts w:ascii="Times New Roman" w:cs="Times New Roman" w:eastAsia="Times New Roman" w:hAnsi="Times New Roman"/>
                <w:b w:val="false"/>
                <w:bCs w:val="false"/>
                <w:i w:val="false"/>
                <w:iCs w:val="false"/>
                <w:sz w:val="22"/>
                <w:szCs w:val="22"/>
              </w:rPr>
              <w:t xml:space="preserve">, versionamento de código e migrações de banco controladas</w:t>
            </w:r>
          </w:p>
        </w:tc>
      </w:tr>
    </w:tbl>
    <w:p>
      <w:pPr>
        <w:spacing w:after="360" w:before="120" w:line="240"/>
        <w:jc w:val="center"/>
      </w:pPr>
      <w:r>
        <w:rPr>
          <w:rFonts w:ascii="Times New Roman" w:cs="Times New Roman" w:eastAsia="Times New Roman" w:hAnsi="Times New Roman"/>
          <w:b w:val="false"/>
          <w:bCs w:val="false"/>
          <w:i w:val="false"/>
          <w:iCs w:val="false"/>
          <w:sz w:val="20"/>
          <w:szCs w:val="20"/>
        </w:rPr>
        <w:t xml:space="preserve">Fonte: elaborado pelo autor (2026).</w:t>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Esses atributos orientaram escolhas concretas de implementação, detalhadas nas seções seguintes. A exigência de disponibilidade conduziu à hospedagem em funções </w:t>
      </w:r>
      <w:r>
        <w:rPr>
          <w:rFonts w:ascii="Times New Roman" w:cs="Times New Roman" w:eastAsia="Times New Roman" w:hAnsi="Times New Roman"/>
          <w:b w:val="false"/>
          <w:bCs w:val="false"/>
          <w:i/>
          <w:iCs/>
          <w:sz w:val="24"/>
          <w:szCs w:val="24"/>
        </w:rPr>
        <w:t xml:space="preserve">serverless</w:t>
      </w:r>
      <w:r>
        <w:rPr>
          <w:rFonts w:ascii="Times New Roman" w:cs="Times New Roman" w:eastAsia="Times New Roman" w:hAnsi="Times New Roman"/>
          <w:b w:val="false"/>
          <w:bCs w:val="false"/>
          <w:i w:val="false"/>
          <w:iCs w:val="false"/>
          <w:sz w:val="24"/>
          <w:szCs w:val="24"/>
        </w:rPr>
        <w:t xml:space="preserve"> com banco de dados gerenciado; a manutenibilidade favoreceu a componentização da interface e o versionamento das migrações; a usabilidade, em contrapartida, impôs leiaute responsivo, dado que parcela expressiva dos docentes brasileiros acessa a internet prioritariamente pelo telefone celular (CGI.BR, 2024). Desse modo, o conjunto de requisitos articula a jornada de compra do educador com as necessidades de gestão do professor autor e serve de referência para a verificação das funcionalidades apresentadas no restante do capítulo.</w:t>
      </w:r>
    </w:p>
    <w:p>
      <w:pPr>
        <w:pStyle w:val="Heading2"/>
        <w:spacing w:after="360" w:before="360" w:line="360"/>
        <w:jc w:val="left"/>
      </w:pPr>
      <w:r>
        <w:rPr>
          <w:rFonts w:ascii="Times New Roman" w:cs="Times New Roman" w:eastAsia="Times New Roman" w:hAnsi="Times New Roman"/>
          <w:b/>
          <w:bCs/>
          <w:i w:val="false"/>
          <w:iCs w:val="false"/>
          <w:sz w:val="24"/>
          <w:szCs w:val="24"/>
        </w:rPr>
        <w:t xml:space="preserve">4.2 Arquitetura da solução</w:t>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A plataforma Ateliê Escolar adota uma arquitetura em três camadas, que separa apresentação, lógica de negócio e persistência de dados, princípio consolidado na engenharia de software por favorecer a manutenibilidade e a evolução independente de cada parte do sistema (PRESSMAN; MAXIM, 2016). Uma decisão estrutural orienta todo o projeto: o navegador não executa operações de escrita diretamente sobre o banco de dados, de modo que qualquer criação ou alteração de registro passa pelo </w:t>
      </w:r>
      <w:r>
        <w:rPr>
          <w:rFonts w:ascii="Times New Roman" w:cs="Times New Roman" w:eastAsia="Times New Roman" w:hAnsi="Times New Roman"/>
          <w:b w:val="false"/>
          <w:bCs w:val="false"/>
          <w:i/>
          <w:iCs/>
          <w:sz w:val="24"/>
          <w:szCs w:val="24"/>
        </w:rPr>
        <w:t xml:space="preserve">back-end</w:t>
      </w:r>
      <w:r>
        <w:rPr>
          <w:rFonts w:ascii="Times New Roman" w:cs="Times New Roman" w:eastAsia="Times New Roman" w:hAnsi="Times New Roman"/>
          <w:b w:val="false"/>
          <w:bCs w:val="false"/>
          <w:i w:val="false"/>
          <w:iCs w:val="false"/>
          <w:sz w:val="24"/>
          <w:szCs w:val="24"/>
        </w:rPr>
        <w:t xml:space="preserve">, que detém as credenciais privilegiadas e concentra as regras de validação. Com efeito, o controle sobre a integridade dos dados permanece em um único ponto, o que também reduz a superfície exposta a abusos. A organização geral das camadas e dos serviços externos integrados é apresentada na figura a seguir.</w:t>
      </w:r>
    </w:p>
    <w:p>
      <w:pPr>
        <w:spacing w:after="120" w:before="240" w:line="360"/>
        <w:jc w:val="center"/>
      </w:pPr>
      <w:r>
        <w:rPr>
          <w:rFonts w:ascii="Times New Roman" w:cs="Times New Roman" w:eastAsia="Times New Roman" w:hAnsi="Times New Roman"/>
          <w:b w:val="false"/>
          <w:bCs w:val="false"/>
          <w:i w:val="false"/>
          <w:iCs w:val="false"/>
          <w:sz w:val="24"/>
          <w:szCs w:val="24"/>
        </w:rPr>
        <w:t xml:space="preserve">Figura 2 – Arquitetura em camadas da plataforma Ateliê Escolar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4253" w:hRule="atLeast"/>
        </w:trPr>
        <w:tc>
          <w:tcPr>
            <w:vAlign w:val="center"/>
          </w:tcPr>
          <w:p>
            <w:pPr>
              <w:spacing w:line="360"/>
              <w:jc w:val="center"/>
            </w:pPr>
            <w:r>
              <w:rPr>
                <w:rFonts w:ascii="Times New Roman" w:cs="Times New Roman" w:eastAsia="Times New Roman" w:hAnsi="Times New Roman"/>
                <w:sz w:val="24"/>
                <w:szCs w:val="24"/>
                <w:highlight w:val="yellow"/>
                <w:highlightCs w:val="yellow"/>
              </w:rPr>
              <w:t xml:space="preserve">[ INSERIR AQUI O PRINT / IMAGEM ]</w:t>
            </w:r>
          </w:p>
        </w:tc>
      </w:tr>
    </w:tbl>
    <w:p>
      <w:pPr>
        <w:spacing w:after="360" w:before="120" w:line="240"/>
        <w:jc w:val="center"/>
      </w:pPr>
      <w:r>
        <w:rPr>
          <w:rFonts w:ascii="Times New Roman" w:cs="Times New Roman" w:eastAsia="Times New Roman" w:hAnsi="Times New Roman"/>
          <w:b w:val="false"/>
          <w:bCs w:val="false"/>
          <w:i w:val="false"/>
          <w:iCs w:val="false"/>
          <w:sz w:val="20"/>
          <w:szCs w:val="20"/>
        </w:rPr>
        <w:t xml:space="preserve">Fonte: elaborada pelo autor (2026).</w:t>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A camada de apresentação consiste em uma aplicação de página única (</w:t>
      </w:r>
      <w:r>
        <w:rPr>
          <w:rFonts w:ascii="Times New Roman" w:cs="Times New Roman" w:eastAsia="Times New Roman" w:hAnsi="Times New Roman"/>
          <w:b w:val="false"/>
          <w:bCs w:val="false"/>
          <w:i/>
          <w:iCs/>
          <w:sz w:val="24"/>
          <w:szCs w:val="24"/>
        </w:rPr>
        <w:t xml:space="preserve">single-page application</w:t>
      </w:r>
      <w:r>
        <w:rPr>
          <w:rFonts w:ascii="Times New Roman" w:cs="Times New Roman" w:eastAsia="Times New Roman" w:hAnsi="Times New Roman"/>
          <w:b w:val="false"/>
          <w:bCs w:val="false"/>
          <w:i w:val="false"/>
          <w:iCs w:val="false"/>
          <w:sz w:val="24"/>
          <w:szCs w:val="24"/>
        </w:rPr>
        <w:t xml:space="preserve">) construída com React 19, biblioteca que descreve a interface por meio de componentes declarativos e reativos (REACT FOUNDATION, 2026), empacotada pelo Vite e estilizada com Tailwind CSS. Componentes como ProductGrid, responsável pela vitrine do catálogo, ProductWizard, que conduz o cadastro e a edição de produtos, e ProtectedRoute, que restringe rotas a usuários autenticados, ilustram essa decomposição. O painel administrativo, por sua vez, foi organizado em treze abas que reúnem catálogo, pedidos, cupons, usuários, configurações e métricas analíticas, todas consumindo exclusivamente a API exposta pelo </w:t>
      </w:r>
      <w:r>
        <w:rPr>
          <w:rFonts w:ascii="Times New Roman" w:cs="Times New Roman" w:eastAsia="Times New Roman" w:hAnsi="Times New Roman"/>
          <w:b w:val="false"/>
          <w:bCs w:val="false"/>
          <w:i/>
          <w:iCs/>
          <w:sz w:val="24"/>
          <w:szCs w:val="24"/>
        </w:rPr>
        <w:t xml:space="preserve">back-end</w:t>
      </w:r>
      <w:r>
        <w:rPr>
          <w:rFonts w:ascii="Times New Roman" w:cs="Times New Roman" w:eastAsia="Times New Roman" w:hAnsi="Times New Roman"/>
          <w:b w:val="false"/>
          <w:bCs w:val="false"/>
          <w:i w:val="false"/>
          <w:iCs w:val="false"/>
          <w:sz w:val="24"/>
          <w:szCs w:val="24"/>
        </w:rPr>
        <w:t xml:space="preserve">. Desse modo, nenhuma tela do painel manipula o banco de dados por conta própria, ainda que opere sobre informações sensíveis.</w:t>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A segunda camada é composta por funções </w:t>
      </w:r>
      <w:r>
        <w:rPr>
          <w:rFonts w:ascii="Times New Roman" w:cs="Times New Roman" w:eastAsia="Times New Roman" w:hAnsi="Times New Roman"/>
          <w:b w:val="false"/>
          <w:bCs w:val="false"/>
          <w:i/>
          <w:iCs/>
          <w:sz w:val="24"/>
          <w:szCs w:val="24"/>
        </w:rPr>
        <w:t xml:space="preserve">serverless</w:t>
      </w:r>
      <w:r>
        <w:rPr>
          <w:rFonts w:ascii="Times New Roman" w:cs="Times New Roman" w:eastAsia="Times New Roman" w:hAnsi="Times New Roman"/>
          <w:b w:val="false"/>
          <w:bCs w:val="false"/>
          <w:i w:val="false"/>
          <w:iCs w:val="false"/>
          <w:sz w:val="24"/>
          <w:szCs w:val="24"/>
        </w:rPr>
        <w:t xml:space="preserve"> escritas em Node.js (OPENJS FOUNDATION, 2026) e hospedadas na Vercel, em que cada arquivo do diretório api/ corresponde a um </w:t>
      </w:r>
      <w:r>
        <w:rPr>
          <w:rFonts w:ascii="Times New Roman" w:cs="Times New Roman" w:eastAsia="Times New Roman" w:hAnsi="Times New Roman"/>
          <w:b w:val="false"/>
          <w:bCs w:val="false"/>
          <w:i/>
          <w:iCs/>
          <w:sz w:val="24"/>
          <w:szCs w:val="24"/>
        </w:rPr>
        <w:t xml:space="preserve">endpoint</w:t>
      </w:r>
      <w:r>
        <w:rPr>
          <w:rFonts w:ascii="Times New Roman" w:cs="Times New Roman" w:eastAsia="Times New Roman" w:hAnsi="Times New Roman"/>
          <w:b w:val="false"/>
          <w:bCs w:val="false"/>
          <w:i w:val="false"/>
          <w:iCs w:val="false"/>
          <w:sz w:val="24"/>
          <w:szCs w:val="24"/>
        </w:rPr>
        <w:t xml:space="preserve"> HTTP independente. Roberts (2018) observa que esse modelo dispensa a administração de servidores e ajusta a capacidade de execução à demanda, característica adequada a uma loja de pequeno porte com tráfego variável. No ambiente de desenvolvimento, um servidor Express 5 monta os mesmos manipuladores por meio do módulo routes/api-compat.routes.js, o que preserva a paridade de comportamento entre a execução local e a produção. Já a lógica compartilhada entre as funções, como sessões assinadas, integração de pagamento, envio de e-mail e auditoria administrativa, reside no diretório lib/, o que evita a duplicação de código.</w:t>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A camada de dados utiliza o Supabase, que provê uma instância gerenciada de PostgreSQL hospedada na região sa-east-1, o serviço de autenticação por e-mail e senha ou Google OAuth e o armazenamento dos arquivos digitais comercializados (SUPABASE, 2026). As dezessete tabelas do modelo contam com Row Level Security habilitado, mecanismo nativo do PostgreSQL que filtra o acesso às linhas conforme políticas declarativas (POSTGRESQL GLOBAL DEVELOPMENT GROUP, 2026). O navegador comunica-se com o Supabase apenas para fins de autenticação; as demais operações ocorrem no servidor, em coerência com a decisão estrutural descrita no início desta seção.</w:t>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Uma requisição típica parte do navegador via HTTPS e é recebida pela função correspondente, que valida o cookie de sessão e o corpo da mensagem com esquemas Zod, consulta ou grava dados no PostgreSQL e devolve a resposta em JSON. No </w:t>
      </w:r>
      <w:r>
        <w:rPr>
          <w:rFonts w:ascii="Times New Roman" w:cs="Times New Roman" w:eastAsia="Times New Roman" w:hAnsi="Times New Roman"/>
          <w:b w:val="false"/>
          <w:bCs w:val="false"/>
          <w:i/>
          <w:iCs/>
          <w:sz w:val="24"/>
          <w:szCs w:val="24"/>
        </w:rPr>
        <w:t xml:space="preserve">checkout</w:t>
      </w:r>
      <w:r>
        <w:rPr>
          <w:rFonts w:ascii="Times New Roman" w:cs="Times New Roman" w:eastAsia="Times New Roman" w:hAnsi="Times New Roman"/>
          <w:b w:val="false"/>
          <w:bCs w:val="false"/>
          <w:i w:val="false"/>
          <w:iCs w:val="false"/>
          <w:sz w:val="24"/>
          <w:szCs w:val="24"/>
        </w:rPr>
        <w:t xml:space="preserve">, o endpoint de criação de pagamento revalida os preços no servidor, registra o pedido como pendente e cria uma preferência no Mercado Pago, retornando ao cliente o endereço de pagamento. Aprovada a transação, o Mercado Pago aciona o </w:t>
      </w:r>
      <w:r>
        <w:rPr>
          <w:rFonts w:ascii="Times New Roman" w:cs="Times New Roman" w:eastAsia="Times New Roman" w:hAnsi="Times New Roman"/>
          <w:b w:val="false"/>
          <w:bCs w:val="false"/>
          <w:i/>
          <w:iCs/>
          <w:sz w:val="24"/>
          <w:szCs w:val="24"/>
        </w:rPr>
        <w:t xml:space="preserve">webhook</w:t>
      </w:r>
      <w:r>
        <w:rPr>
          <w:rFonts w:ascii="Times New Roman" w:cs="Times New Roman" w:eastAsia="Times New Roman" w:hAnsi="Times New Roman"/>
          <w:b w:val="false"/>
          <w:bCs w:val="false"/>
          <w:i w:val="false"/>
          <w:iCs w:val="false"/>
          <w:sz w:val="24"/>
          <w:szCs w:val="24"/>
        </w:rPr>
        <w:t xml:space="preserve"> da plataforma, cuja assinatura HMAC é verificada antes de qualquer processamento; confirmado o pagamento, são gerados os tokens de </w:t>
      </w:r>
      <w:r>
        <w:rPr>
          <w:rFonts w:ascii="Times New Roman" w:cs="Times New Roman" w:eastAsia="Times New Roman" w:hAnsi="Times New Roman"/>
          <w:b w:val="false"/>
          <w:bCs w:val="false"/>
          <w:i/>
          <w:iCs/>
          <w:sz w:val="24"/>
          <w:szCs w:val="24"/>
        </w:rPr>
        <w:t xml:space="preserve">download</w:t>
      </w:r>
      <w:r>
        <w:rPr>
          <w:rFonts w:ascii="Times New Roman" w:cs="Times New Roman" w:eastAsia="Times New Roman" w:hAnsi="Times New Roman"/>
          <w:b w:val="false"/>
          <w:bCs w:val="false"/>
          <w:i w:val="false"/>
          <w:iCs w:val="false"/>
          <w:sz w:val="24"/>
          <w:szCs w:val="24"/>
        </w:rPr>
        <w:t xml:space="preserve"> e o vínculo entre usuário e produto, além do e-mail de confirmação enviado pelo serviço Resend. Como contingência, o </w:t>
      </w:r>
      <w:r>
        <w:rPr>
          <w:rFonts w:ascii="Times New Roman" w:cs="Times New Roman" w:eastAsia="Times New Roman" w:hAnsi="Times New Roman"/>
          <w:b w:val="false"/>
          <w:bCs w:val="false"/>
          <w:i/>
          <w:iCs/>
          <w:sz w:val="24"/>
          <w:szCs w:val="24"/>
        </w:rPr>
        <w:t xml:space="preserve">front-end</w:t>
      </w:r>
      <w:r>
        <w:rPr>
          <w:rFonts w:ascii="Times New Roman" w:cs="Times New Roman" w:eastAsia="Times New Roman" w:hAnsi="Times New Roman"/>
          <w:b w:val="false"/>
          <w:bCs w:val="false"/>
          <w:i w:val="false"/>
          <w:iCs w:val="false"/>
          <w:sz w:val="24"/>
          <w:szCs w:val="24"/>
        </w:rPr>
        <w:t xml:space="preserve"> consulta periodicamente o endpoint de verificação de pagamento, de forma que a liberação do material não dependa apenas da notificação assíncrona.</w:t>
      </w:r>
    </w:p>
    <w:p>
      <w:pPr>
        <w:pStyle w:val="Heading2"/>
        <w:spacing w:after="360" w:before="360" w:line="360"/>
        <w:jc w:val="left"/>
      </w:pPr>
      <w:r>
        <w:rPr>
          <w:rFonts w:ascii="Times New Roman" w:cs="Times New Roman" w:eastAsia="Times New Roman" w:hAnsi="Times New Roman"/>
          <w:b/>
          <w:bCs/>
          <w:i w:val="false"/>
          <w:iCs w:val="false"/>
          <w:sz w:val="24"/>
          <w:szCs w:val="24"/>
        </w:rPr>
        <w:t xml:space="preserve">4.3 Modelagem de dados</w:t>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O modelo de dados da plataforma foi implementado em PostgreSQL gerenciado pelo Supabase e compreende dezessete tabelas, todas protegidas por políticas de </w:t>
      </w:r>
      <w:r>
        <w:rPr>
          <w:rFonts w:ascii="Times New Roman" w:cs="Times New Roman" w:eastAsia="Times New Roman" w:hAnsi="Times New Roman"/>
          <w:b w:val="false"/>
          <w:bCs w:val="false"/>
          <w:i/>
          <w:iCs/>
          <w:sz w:val="24"/>
          <w:szCs w:val="24"/>
        </w:rPr>
        <w:t xml:space="preserve">Row Level Security</w:t>
      </w:r>
      <w:r>
        <w:rPr>
          <w:rFonts w:ascii="Times New Roman" w:cs="Times New Roman" w:eastAsia="Times New Roman" w:hAnsi="Times New Roman"/>
          <w:b w:val="false"/>
          <w:bCs w:val="false"/>
          <w:i w:val="false"/>
          <w:iCs w:val="false"/>
          <w:sz w:val="24"/>
          <w:szCs w:val="24"/>
        </w:rPr>
        <w:t xml:space="preserve">, mecanismo nativo do sistema gerenciador que restringe o acesso a cada linha conforme o papel de quem realiza a requisição (POSTGRESQL GLOBAL DEVELOPMENT GROUP, 2026). As entidades distribuem-se em quatro grupos funcionais: catálogo, transações de venda, entrega digital e observabilidade. Essa divisão facilita a manutenção e delimita com clareza as responsabilidades de cada estrutura. A figura a seguir apresenta o diagrama de entidades e relacionamentos resultante dessa organização.</w:t>
      </w:r>
    </w:p>
    <w:p>
      <w:pPr>
        <w:spacing w:after="120" w:before="240" w:line="360"/>
        <w:jc w:val="center"/>
      </w:pPr>
      <w:r>
        <w:rPr>
          <w:rFonts w:ascii="Times New Roman" w:cs="Times New Roman" w:eastAsia="Times New Roman" w:hAnsi="Times New Roman"/>
          <w:b w:val="false"/>
          <w:bCs w:val="false"/>
          <w:i w:val="false"/>
          <w:iCs w:val="false"/>
          <w:sz w:val="24"/>
          <w:szCs w:val="24"/>
        </w:rPr>
        <w:t xml:space="preserve">Figura 3 – Diagrama do modelo de dados (entidades e relacionamentos)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4253" w:hRule="atLeast"/>
        </w:trPr>
        <w:tc>
          <w:tcPr>
            <w:vAlign w:val="center"/>
          </w:tcPr>
          <w:p>
            <w:pPr>
              <w:spacing w:line="360"/>
              <w:jc w:val="center"/>
            </w:pPr>
            <w:r>
              <w:rPr>
                <w:rFonts w:ascii="Times New Roman" w:cs="Times New Roman" w:eastAsia="Times New Roman" w:hAnsi="Times New Roman"/>
                <w:sz w:val="24"/>
                <w:szCs w:val="24"/>
                <w:highlight w:val="yellow"/>
                <w:highlightCs w:val="yellow"/>
              </w:rPr>
              <w:t xml:space="preserve">[ INSERIR AQUI O PRINT / IMAGEM ]</w:t>
            </w:r>
          </w:p>
        </w:tc>
      </w:tr>
    </w:tbl>
    <w:p>
      <w:pPr>
        <w:spacing w:after="360" w:before="120" w:line="240"/>
        <w:jc w:val="center"/>
      </w:pPr>
      <w:r>
        <w:rPr>
          <w:rFonts w:ascii="Times New Roman" w:cs="Times New Roman" w:eastAsia="Times New Roman" w:hAnsi="Times New Roman"/>
          <w:b w:val="false"/>
          <w:bCs w:val="false"/>
          <w:i w:val="false"/>
          <w:iCs w:val="false"/>
          <w:sz w:val="20"/>
          <w:szCs w:val="20"/>
        </w:rPr>
        <w:t xml:space="preserve">Fonte: elaborada pelo autor (2026).</w:t>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O catálogo apoia-se nas tabelas categories e products, relacionadas de modo que cada produto pertença a uma única categoria. Em products, além dos campos descritivos e de preço, armazenam-se o caminho do arquivo a ser entregue (download_url) e atributos semiestruturados em colunas do tipo jsonb, caso das imagens, das perguntas frequentes e dos benefícios, formato que dispensa tabelas auxiliares para dados de baixa cardinalidade. A identidade dos usuários, por sua vez, reside no esquema de autenticação do Supabase (auth.users); a tabela profiles mantém relação um para um com esse registro e é criada automaticamente por gatilho no momento do cadastro, guardando nome de exibição, provedor de acesso e papel do usuário (SUPABASE, 2026).</w:t>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O núcleo transacional reúne orders e order_items, em relacionamento de um para muitos com exclusão em cascata. Cada pedido agrega itens que registram um retrato do produto no instante da compra, com nome, preço unitário e quantidade copiados, de modo que alterações posteriores no catálogo não distorçam o histórico de vendas. O pedido referencia o cliente em auth.users por chave estrangeira anulável, o que viabiliza a compra como convidado, e carrega um código único de 128 bits empregado como referência externa na conciliação com o provedor de pagamento. A aplicação de cupons, mantidos na tabela coupons com tipo de desconto, janela de validade e limites de uso, fica registrada no próprio pedido por meio do código aplicado e do valor abatido.</w:t>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Já a entrega digital articula três entidades: user_products vincula o comprador aos produtos adquiridos; download_tokens guarda credenciais efêmeras de </w:t>
      </w:r>
      <w:r>
        <w:rPr>
          <w:rFonts w:ascii="Times New Roman" w:cs="Times New Roman" w:eastAsia="Times New Roman" w:hAnsi="Times New Roman"/>
          <w:b w:val="false"/>
          <w:bCs w:val="false"/>
          <w:i/>
          <w:iCs/>
          <w:sz w:val="24"/>
          <w:szCs w:val="24"/>
        </w:rPr>
        <w:t xml:space="preserve">download</w:t>
      </w:r>
      <w:r>
        <w:rPr>
          <w:rFonts w:ascii="Times New Roman" w:cs="Times New Roman" w:eastAsia="Times New Roman" w:hAnsi="Times New Roman"/>
          <w:b w:val="false"/>
          <w:bCs w:val="false"/>
          <w:i w:val="false"/>
          <w:iCs w:val="false"/>
          <w:sz w:val="24"/>
          <w:szCs w:val="24"/>
        </w:rPr>
        <w:t xml:space="preserve">, geradas após a aprovação do pagamento e expiradas, por padrão, em sete dias; e download_logs audita cada retirada de arquivo, com registro de endereço IP e agente de usuário. Completam o modelo as tabelas de apoio analytics_events e page_views, que sustentam o funil de conversão e a medição de audiência, email_subscribers, que controla o duplo consentimento da </w:t>
      </w:r>
      <w:r>
        <w:rPr>
          <w:rFonts w:ascii="Times New Roman" w:cs="Times New Roman" w:eastAsia="Times New Roman" w:hAnsi="Times New Roman"/>
          <w:b w:val="false"/>
          <w:bCs w:val="false"/>
          <w:i/>
          <w:iCs/>
          <w:sz w:val="24"/>
          <w:szCs w:val="24"/>
        </w:rPr>
        <w:t xml:space="preserve">newsletter</w:t>
      </w:r>
      <w:r>
        <w:rPr>
          <w:rFonts w:ascii="Times New Roman" w:cs="Times New Roman" w:eastAsia="Times New Roman" w:hAnsi="Times New Roman"/>
          <w:b w:val="false"/>
          <w:bCs w:val="false"/>
          <w:i w:val="false"/>
          <w:iCs w:val="false"/>
          <w:sz w:val="24"/>
          <w:szCs w:val="24"/>
        </w:rPr>
        <w:t xml:space="preserve">, settings, repositório chave-valor de configurações administrativas, e admin_audit_log, que preserva o estado anterior e o posterior de cada escrita realizada no painel administrativo. Para essas estruturas de registro foram definidas janelas de retenção automatizadas, com expurgo periódico dos logs de download após doze meses e dos eventos de navegação após vinte e quatro meses, em atenção ao princípio da minimização.</w:t>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Uma decisão estrutural relevante foi referenciar auth.users diretamente nas chaves estrangeiras de profiles, user_products e orders, com regras de cascata e anulação calibradas para a exclusão de conta prevista na Lei Geral de Proteção de Dados (BRASIL, 2018a). Quando o titular solicita a remoção, a exclusão do registro em auth.users elimina automaticamente o perfil e os vínculos de compra; os pedidos, em contrapartida, têm a referência ao cliente anulada e os dados pessoais anonimizados, o que preserva o histórico financeiro sem identificar o indivíduo. O quadro a seguir sintetiza as principais entidades do modelo e suas finalidades.</w:t>
      </w:r>
    </w:p>
    <w:p>
      <w:pPr>
        <w:spacing w:after="120" w:before="240" w:line="360"/>
        <w:jc w:val="center"/>
      </w:pPr>
      <w:r>
        <w:rPr>
          <w:rFonts w:ascii="Times New Roman" w:cs="Times New Roman" w:eastAsia="Times New Roman" w:hAnsi="Times New Roman"/>
          <w:b w:val="false"/>
          <w:bCs w:val="false"/>
          <w:i w:val="false"/>
          <w:iCs w:val="false"/>
          <w:sz w:val="24"/>
          <w:szCs w:val="24"/>
        </w:rPr>
        <w:t xml:space="preserve">Quadro 3 – Principais entidades do banco de dados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DDDDDD" w:val="clear"/>
          </w:tcPr>
          <w:p>
            <w:pPr>
              <w:spacing w:line="240"/>
              <w:jc w:val="left"/>
            </w:pPr>
            <w:r>
              <w:rPr>
                <w:rFonts w:ascii="Times New Roman" w:cs="Times New Roman" w:eastAsia="Times New Roman" w:hAnsi="Times New Roman"/>
                <w:b/>
                <w:bCs/>
                <w:i w:val="false"/>
                <w:iCs w:val="false"/>
                <w:sz w:val="22"/>
                <w:szCs w:val="22"/>
              </w:rPr>
              <w:t xml:space="preserve">Entidade</w:t>
            </w:r>
          </w:p>
        </w:tc>
        <w:tc>
          <w:tcPr>
            <w:shd w:fill="DDDDDD" w:val="clear"/>
          </w:tcPr>
          <w:p>
            <w:pPr>
              <w:spacing w:line="240"/>
              <w:jc w:val="left"/>
            </w:pPr>
            <w:r>
              <w:rPr>
                <w:rFonts w:ascii="Times New Roman" w:cs="Times New Roman" w:eastAsia="Times New Roman" w:hAnsi="Times New Roman"/>
                <w:b/>
                <w:bCs/>
                <w:i w:val="false"/>
                <w:iCs w:val="false"/>
                <w:sz w:val="22"/>
                <w:szCs w:val="22"/>
              </w:rPr>
              <w:t xml:space="preserve">Finalidade</w:t>
            </w:r>
          </w:p>
        </w:tc>
      </w:tr>
      <w:tr>
        <w:trPr>
          <w:tblHeader w:val="false"/>
        </w:trPr>
        <w:tc>
          <w:p>
            <w:pPr>
              <w:spacing w:line="240"/>
              <w:jc w:val="left"/>
            </w:pPr>
            <w:r>
              <w:rPr>
                <w:rFonts w:ascii="Times New Roman" w:cs="Times New Roman" w:eastAsia="Times New Roman" w:hAnsi="Times New Roman"/>
                <w:b w:val="false"/>
                <w:bCs w:val="false"/>
                <w:i w:val="false"/>
                <w:iCs w:val="false"/>
                <w:sz w:val="22"/>
                <w:szCs w:val="22"/>
              </w:rPr>
              <w:t xml:space="preserve">categories</w:t>
            </w:r>
          </w:p>
        </w:tc>
        <w:tc>
          <w:p>
            <w:pPr>
              <w:spacing w:line="240"/>
              <w:jc w:val="left"/>
            </w:pPr>
            <w:r>
              <w:rPr>
                <w:rFonts w:ascii="Times New Roman" w:cs="Times New Roman" w:eastAsia="Times New Roman" w:hAnsi="Times New Roman"/>
                <w:b w:val="false"/>
                <w:bCs w:val="false"/>
                <w:i w:val="false"/>
                <w:iCs w:val="false"/>
                <w:sz w:val="22"/>
                <w:szCs w:val="22"/>
              </w:rPr>
              <w:t xml:space="preserve">Organização do catálogo em categorias ativas e ordenáveis</w:t>
            </w:r>
          </w:p>
        </w:tc>
      </w:tr>
      <w:tr>
        <w:trPr>
          <w:tblHeader w:val="false"/>
        </w:trPr>
        <w:tc>
          <w:p>
            <w:pPr>
              <w:spacing w:line="240"/>
              <w:jc w:val="left"/>
            </w:pPr>
            <w:r>
              <w:rPr>
                <w:rFonts w:ascii="Times New Roman" w:cs="Times New Roman" w:eastAsia="Times New Roman" w:hAnsi="Times New Roman"/>
                <w:b w:val="false"/>
                <w:bCs w:val="false"/>
                <w:i w:val="false"/>
                <w:iCs w:val="false"/>
                <w:sz w:val="22"/>
                <w:szCs w:val="22"/>
              </w:rPr>
              <w:t xml:space="preserve">products</w:t>
            </w:r>
          </w:p>
        </w:tc>
        <w:tc>
          <w:p>
            <w:pPr>
              <w:spacing w:line="240"/>
              <w:jc w:val="left"/>
            </w:pPr>
            <w:r>
              <w:rPr>
                <w:rFonts w:ascii="Times New Roman" w:cs="Times New Roman" w:eastAsia="Times New Roman" w:hAnsi="Times New Roman"/>
                <w:b w:val="false"/>
                <w:bCs w:val="false"/>
                <w:i w:val="false"/>
                <w:iCs w:val="false"/>
                <w:sz w:val="22"/>
                <w:szCs w:val="22"/>
              </w:rPr>
              <w:t xml:space="preserve">Registro dos materiais didáticos autorais, com preço, mídias e arquivo de entrega</w:t>
            </w:r>
          </w:p>
        </w:tc>
      </w:tr>
      <w:tr>
        <w:trPr>
          <w:tblHeader w:val="false"/>
        </w:trPr>
        <w:tc>
          <w:p>
            <w:pPr>
              <w:spacing w:line="240"/>
              <w:jc w:val="left"/>
            </w:pPr>
            <w:r>
              <w:rPr>
                <w:rFonts w:ascii="Times New Roman" w:cs="Times New Roman" w:eastAsia="Times New Roman" w:hAnsi="Times New Roman"/>
                <w:b w:val="false"/>
                <w:bCs w:val="false"/>
                <w:i w:val="false"/>
                <w:iCs w:val="false"/>
                <w:sz w:val="22"/>
                <w:szCs w:val="22"/>
              </w:rPr>
              <w:t xml:space="preserve">profiles</w:t>
            </w:r>
          </w:p>
        </w:tc>
        <w:tc>
          <w:p>
            <w:pPr>
              <w:spacing w:line="240"/>
              <w:jc w:val="left"/>
            </w:pPr>
            <w:r>
              <w:rPr>
                <w:rFonts w:ascii="Times New Roman" w:cs="Times New Roman" w:eastAsia="Times New Roman" w:hAnsi="Times New Roman"/>
                <w:b w:val="false"/>
                <w:bCs w:val="false"/>
                <w:i w:val="false"/>
                <w:iCs w:val="false"/>
                <w:sz w:val="22"/>
                <w:szCs w:val="22"/>
              </w:rPr>
              <w:t xml:space="preserve">Perfil do usuário vinculado a auth.users, com papel e provedor de acesso</w:t>
            </w:r>
          </w:p>
        </w:tc>
      </w:tr>
      <w:tr>
        <w:trPr>
          <w:tblHeader w:val="false"/>
        </w:trPr>
        <w:tc>
          <w:p>
            <w:pPr>
              <w:spacing w:line="240"/>
              <w:jc w:val="left"/>
            </w:pPr>
            <w:r>
              <w:rPr>
                <w:rFonts w:ascii="Times New Roman" w:cs="Times New Roman" w:eastAsia="Times New Roman" w:hAnsi="Times New Roman"/>
                <w:b w:val="false"/>
                <w:bCs w:val="false"/>
                <w:i w:val="false"/>
                <w:iCs w:val="false"/>
                <w:sz w:val="22"/>
                <w:szCs w:val="22"/>
              </w:rPr>
              <w:t xml:space="preserve">orders</w:t>
            </w:r>
          </w:p>
        </w:tc>
        <w:tc>
          <w:p>
            <w:pPr>
              <w:spacing w:line="240"/>
              <w:jc w:val="left"/>
            </w:pPr>
            <w:r>
              <w:rPr>
                <w:rFonts w:ascii="Times New Roman" w:cs="Times New Roman" w:eastAsia="Times New Roman" w:hAnsi="Times New Roman"/>
                <w:b w:val="false"/>
                <w:bCs w:val="false"/>
                <w:i w:val="false"/>
                <w:iCs w:val="false"/>
                <w:sz w:val="22"/>
                <w:szCs w:val="22"/>
              </w:rPr>
              <w:t xml:space="preserve">Pedidos de compra, com status de pagamento, cupom aplicado e dados de atribuição</w:t>
            </w:r>
          </w:p>
        </w:tc>
      </w:tr>
      <w:tr>
        <w:trPr>
          <w:tblHeader w:val="false"/>
        </w:trPr>
        <w:tc>
          <w:p>
            <w:pPr>
              <w:spacing w:line="240"/>
              <w:jc w:val="left"/>
            </w:pPr>
            <w:r>
              <w:rPr>
                <w:rFonts w:ascii="Times New Roman" w:cs="Times New Roman" w:eastAsia="Times New Roman" w:hAnsi="Times New Roman"/>
                <w:b w:val="false"/>
                <w:bCs w:val="false"/>
                <w:i w:val="false"/>
                <w:iCs w:val="false"/>
                <w:sz w:val="22"/>
                <w:szCs w:val="22"/>
              </w:rPr>
              <w:t xml:space="preserve">order_items</w:t>
            </w:r>
          </w:p>
        </w:tc>
        <w:tc>
          <w:p>
            <w:pPr>
              <w:spacing w:line="240"/>
              <w:jc w:val="left"/>
            </w:pPr>
            <w:r>
              <w:rPr>
                <w:rFonts w:ascii="Times New Roman" w:cs="Times New Roman" w:eastAsia="Times New Roman" w:hAnsi="Times New Roman"/>
                <w:b w:val="false"/>
                <w:bCs w:val="false"/>
                <w:i w:val="false"/>
                <w:iCs w:val="false"/>
                <w:sz w:val="22"/>
                <w:szCs w:val="22"/>
              </w:rPr>
              <w:t xml:space="preserve">Itens do pedido com retrato de nome, preço e quantidade no momento da compra</w:t>
            </w:r>
          </w:p>
        </w:tc>
      </w:tr>
      <w:tr>
        <w:trPr>
          <w:tblHeader w:val="false"/>
        </w:trPr>
        <w:tc>
          <w:p>
            <w:pPr>
              <w:spacing w:line="240"/>
              <w:jc w:val="left"/>
            </w:pPr>
            <w:r>
              <w:rPr>
                <w:rFonts w:ascii="Times New Roman" w:cs="Times New Roman" w:eastAsia="Times New Roman" w:hAnsi="Times New Roman"/>
                <w:b w:val="false"/>
                <w:bCs w:val="false"/>
                <w:i w:val="false"/>
                <w:iCs w:val="false"/>
                <w:sz w:val="22"/>
                <w:szCs w:val="22"/>
              </w:rPr>
              <w:t xml:space="preserve">user_products</w:t>
            </w:r>
          </w:p>
        </w:tc>
        <w:tc>
          <w:p>
            <w:pPr>
              <w:spacing w:line="240"/>
              <w:jc w:val="left"/>
            </w:pPr>
            <w:r>
              <w:rPr>
                <w:rFonts w:ascii="Times New Roman" w:cs="Times New Roman" w:eastAsia="Times New Roman" w:hAnsi="Times New Roman"/>
                <w:b w:val="false"/>
                <w:bCs w:val="false"/>
                <w:i w:val="false"/>
                <w:iCs w:val="false"/>
                <w:sz w:val="22"/>
                <w:szCs w:val="22"/>
              </w:rPr>
              <w:t xml:space="preserve">Vínculo entre o cliente e os produtos adquiridos</w:t>
            </w:r>
          </w:p>
        </w:tc>
      </w:tr>
      <w:tr>
        <w:trPr>
          <w:tblHeader w:val="false"/>
        </w:trPr>
        <w:tc>
          <w:p>
            <w:pPr>
              <w:spacing w:line="240"/>
              <w:jc w:val="left"/>
            </w:pPr>
            <w:r>
              <w:rPr>
                <w:rFonts w:ascii="Times New Roman" w:cs="Times New Roman" w:eastAsia="Times New Roman" w:hAnsi="Times New Roman"/>
                <w:b w:val="false"/>
                <w:bCs w:val="false"/>
                <w:i w:val="false"/>
                <w:iCs w:val="false"/>
                <w:sz w:val="22"/>
                <w:szCs w:val="22"/>
              </w:rPr>
              <w:t xml:space="preserve">coupons</w:t>
            </w:r>
          </w:p>
        </w:tc>
        <w:tc>
          <w:p>
            <w:pPr>
              <w:spacing w:line="240"/>
              <w:jc w:val="left"/>
            </w:pPr>
            <w:r>
              <w:rPr>
                <w:rFonts w:ascii="Times New Roman" w:cs="Times New Roman" w:eastAsia="Times New Roman" w:hAnsi="Times New Roman"/>
                <w:b w:val="false"/>
                <w:bCs w:val="false"/>
                <w:i w:val="false"/>
                <w:iCs w:val="false"/>
                <w:sz w:val="22"/>
                <w:szCs w:val="22"/>
              </w:rPr>
              <w:t xml:space="preserve">Cupons de desconto com regras de validade, limites e abrangência</w:t>
            </w:r>
          </w:p>
        </w:tc>
      </w:tr>
      <w:tr>
        <w:trPr>
          <w:tblHeader w:val="false"/>
        </w:trPr>
        <w:tc>
          <w:p>
            <w:pPr>
              <w:spacing w:line="240"/>
              <w:jc w:val="left"/>
            </w:pPr>
            <w:r>
              <w:rPr>
                <w:rFonts w:ascii="Times New Roman" w:cs="Times New Roman" w:eastAsia="Times New Roman" w:hAnsi="Times New Roman"/>
                <w:b w:val="false"/>
                <w:bCs w:val="false"/>
                <w:i w:val="false"/>
                <w:iCs w:val="false"/>
                <w:sz w:val="22"/>
                <w:szCs w:val="22"/>
              </w:rPr>
              <w:t xml:space="preserve">download_tokens</w:t>
            </w:r>
          </w:p>
        </w:tc>
        <w:tc>
          <w:p>
            <w:pPr>
              <w:spacing w:line="240"/>
              <w:jc w:val="left"/>
            </w:pPr>
            <w:r>
              <w:rPr>
                <w:rFonts w:ascii="Times New Roman" w:cs="Times New Roman" w:eastAsia="Times New Roman" w:hAnsi="Times New Roman"/>
                <w:b w:val="false"/>
                <w:bCs w:val="false"/>
                <w:i w:val="false"/>
                <w:iCs w:val="false"/>
                <w:sz w:val="22"/>
                <w:szCs w:val="22"/>
              </w:rPr>
              <w:t xml:space="preserve">Credenciais temporárias para liberação do download após o pagamento</w:t>
            </w:r>
          </w:p>
        </w:tc>
      </w:tr>
      <w:tr>
        <w:trPr>
          <w:tblHeader w:val="false"/>
        </w:trPr>
        <w:tc>
          <w:p>
            <w:pPr>
              <w:spacing w:line="240"/>
              <w:jc w:val="left"/>
            </w:pPr>
            <w:r>
              <w:rPr>
                <w:rFonts w:ascii="Times New Roman" w:cs="Times New Roman" w:eastAsia="Times New Roman" w:hAnsi="Times New Roman"/>
                <w:b w:val="false"/>
                <w:bCs w:val="false"/>
                <w:i w:val="false"/>
                <w:iCs w:val="false"/>
                <w:sz w:val="22"/>
                <w:szCs w:val="22"/>
              </w:rPr>
              <w:t xml:space="preserve">download_logs</w:t>
            </w:r>
          </w:p>
        </w:tc>
        <w:tc>
          <w:p>
            <w:pPr>
              <w:spacing w:line="240"/>
              <w:jc w:val="left"/>
            </w:pPr>
            <w:r>
              <w:rPr>
                <w:rFonts w:ascii="Times New Roman" w:cs="Times New Roman" w:eastAsia="Times New Roman" w:hAnsi="Times New Roman"/>
                <w:b w:val="false"/>
                <w:bCs w:val="false"/>
                <w:i w:val="false"/>
                <w:iCs w:val="false"/>
                <w:sz w:val="22"/>
                <w:szCs w:val="22"/>
              </w:rPr>
              <w:t xml:space="preserve">Auditoria das retiradas de arquivos, com IP, agente de usuário e data</w:t>
            </w:r>
          </w:p>
        </w:tc>
      </w:tr>
      <w:tr>
        <w:trPr>
          <w:tblHeader w:val="false"/>
        </w:trPr>
        <w:tc>
          <w:p>
            <w:pPr>
              <w:spacing w:line="240"/>
              <w:jc w:val="left"/>
            </w:pPr>
            <w:r>
              <w:rPr>
                <w:rFonts w:ascii="Times New Roman" w:cs="Times New Roman" w:eastAsia="Times New Roman" w:hAnsi="Times New Roman"/>
                <w:b w:val="false"/>
                <w:bCs w:val="false"/>
                <w:i w:val="false"/>
                <w:iCs w:val="false"/>
                <w:sz w:val="22"/>
                <w:szCs w:val="22"/>
              </w:rPr>
              <w:t xml:space="preserve">analytics_events</w:t>
            </w:r>
          </w:p>
        </w:tc>
        <w:tc>
          <w:p>
            <w:pPr>
              <w:spacing w:line="240"/>
              <w:jc w:val="left"/>
            </w:pPr>
            <w:r>
              <w:rPr>
                <w:rFonts w:ascii="Times New Roman" w:cs="Times New Roman" w:eastAsia="Times New Roman" w:hAnsi="Times New Roman"/>
                <w:b w:val="false"/>
                <w:bCs w:val="false"/>
                <w:i w:val="false"/>
                <w:iCs w:val="false"/>
                <w:sz w:val="22"/>
                <w:szCs w:val="22"/>
              </w:rPr>
              <w:t xml:space="preserve">Eventos do funil de conversão com identificadores pseudonimizados</w:t>
            </w:r>
          </w:p>
        </w:tc>
      </w:tr>
      <w:tr>
        <w:trPr>
          <w:tblHeader w:val="false"/>
        </w:trPr>
        <w:tc>
          <w:p>
            <w:pPr>
              <w:spacing w:line="240"/>
              <w:jc w:val="left"/>
            </w:pPr>
            <w:r>
              <w:rPr>
                <w:rFonts w:ascii="Times New Roman" w:cs="Times New Roman" w:eastAsia="Times New Roman" w:hAnsi="Times New Roman"/>
                <w:b w:val="false"/>
                <w:bCs w:val="false"/>
                <w:i w:val="false"/>
                <w:iCs w:val="false"/>
                <w:sz w:val="22"/>
                <w:szCs w:val="22"/>
              </w:rPr>
              <w:t xml:space="preserve">settings</w:t>
            </w:r>
          </w:p>
        </w:tc>
        <w:tc>
          <w:p>
            <w:pPr>
              <w:spacing w:line="240"/>
              <w:jc w:val="left"/>
            </w:pPr>
            <w:r>
              <w:rPr>
                <w:rFonts w:ascii="Times New Roman" w:cs="Times New Roman" w:eastAsia="Times New Roman" w:hAnsi="Times New Roman"/>
                <w:b w:val="false"/>
                <w:bCs w:val="false"/>
                <w:i w:val="false"/>
                <w:iCs w:val="false"/>
                <w:sz w:val="22"/>
                <w:szCs w:val="22"/>
              </w:rPr>
              <w:t xml:space="preserve">Configurações administrativas em formato chave-valor</w:t>
            </w:r>
          </w:p>
        </w:tc>
      </w:tr>
      <w:tr>
        <w:trPr>
          <w:tblHeader w:val="false"/>
        </w:trPr>
        <w:tc>
          <w:p>
            <w:pPr>
              <w:spacing w:line="240"/>
              <w:jc w:val="left"/>
            </w:pPr>
            <w:r>
              <w:rPr>
                <w:rFonts w:ascii="Times New Roman" w:cs="Times New Roman" w:eastAsia="Times New Roman" w:hAnsi="Times New Roman"/>
                <w:b w:val="false"/>
                <w:bCs w:val="false"/>
                <w:i w:val="false"/>
                <w:iCs w:val="false"/>
                <w:sz w:val="22"/>
                <w:szCs w:val="22"/>
              </w:rPr>
              <w:t xml:space="preserve">admin_audit_log</w:t>
            </w:r>
          </w:p>
        </w:tc>
        <w:tc>
          <w:p>
            <w:pPr>
              <w:spacing w:line="240"/>
              <w:jc w:val="left"/>
            </w:pPr>
            <w:r>
              <w:rPr>
                <w:rFonts w:ascii="Times New Roman" w:cs="Times New Roman" w:eastAsia="Times New Roman" w:hAnsi="Times New Roman"/>
                <w:b w:val="false"/>
                <w:bCs w:val="false"/>
                <w:i w:val="false"/>
                <w:iCs w:val="false"/>
                <w:sz w:val="22"/>
                <w:szCs w:val="22"/>
              </w:rPr>
              <w:t xml:space="preserve">Trilha de auditoria das operações de escrita do painel administrativo</w:t>
            </w:r>
          </w:p>
        </w:tc>
      </w:tr>
    </w:tbl>
    <w:p>
      <w:pPr>
        <w:spacing w:after="360" w:before="120" w:line="240"/>
        <w:jc w:val="center"/>
      </w:pPr>
      <w:r>
        <w:rPr>
          <w:rFonts w:ascii="Times New Roman" w:cs="Times New Roman" w:eastAsia="Times New Roman" w:hAnsi="Times New Roman"/>
          <w:b w:val="false"/>
          <w:bCs w:val="false"/>
          <w:i w:val="false"/>
          <w:iCs w:val="false"/>
          <w:sz w:val="20"/>
          <w:szCs w:val="20"/>
        </w:rPr>
        <w:t xml:space="preserve">Fonte: elaborado pelo autor (2026).</w:t>
      </w:r>
    </w:p>
    <w:p>
      <w:pPr>
        <w:pStyle w:val="Heading2"/>
        <w:spacing w:after="360" w:before="360" w:line="360"/>
        <w:jc w:val="left"/>
      </w:pPr>
      <w:r>
        <w:rPr>
          <w:rFonts w:ascii="Times New Roman" w:cs="Times New Roman" w:eastAsia="Times New Roman" w:hAnsi="Times New Roman"/>
          <w:b/>
          <w:bCs/>
          <w:i w:val="false"/>
          <w:iCs w:val="false"/>
          <w:sz w:val="24"/>
          <w:szCs w:val="24"/>
        </w:rPr>
        <w:t xml:space="preserve">4.4 Tecnologias e justificativa das escolhas</w:t>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A seleção das tecnologias da plataforma obedeceu a critérios de engenharia definidos previamente: custo operacional compatível com um projeto mantido por um único professor autor, maturidade e qualidade da documentação das ferramentas, curva de aprendizado razoável e aderência aos requisitos levantados. Pressman e Maxim (2016) observam que decisões de arquitetura e de infraestrutura devem ser orientadas pelos atributos de qualidade exigidos pelo produto, e não pela novidade das ferramentas disponíveis, princípio que norteou as comparações descritas nesta seção. O quadro a seguir sintetiza as escolhas realizadas em cada camada do sistema.</w:t>
      </w:r>
    </w:p>
    <w:p>
      <w:pPr>
        <w:spacing w:after="120" w:before="240" w:line="360"/>
        <w:jc w:val="center"/>
      </w:pPr>
      <w:r>
        <w:rPr>
          <w:rFonts w:ascii="Times New Roman" w:cs="Times New Roman" w:eastAsia="Times New Roman" w:hAnsi="Times New Roman"/>
          <w:b w:val="false"/>
          <w:bCs w:val="false"/>
          <w:i w:val="false"/>
          <w:iCs w:val="false"/>
          <w:sz w:val="24"/>
          <w:szCs w:val="24"/>
        </w:rPr>
        <w:t xml:space="preserve">Quadro 4 – Síntese das tecnologias adotadas na plataforma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DDDDDD" w:val="clear"/>
          </w:tcPr>
          <w:p>
            <w:pPr>
              <w:spacing w:line="240"/>
              <w:jc w:val="left"/>
            </w:pPr>
            <w:r>
              <w:rPr>
                <w:rFonts w:ascii="Times New Roman" w:cs="Times New Roman" w:eastAsia="Times New Roman" w:hAnsi="Times New Roman"/>
                <w:b/>
                <w:bCs/>
                <w:i w:val="false"/>
                <w:iCs w:val="false"/>
                <w:sz w:val="22"/>
                <w:szCs w:val="22"/>
              </w:rPr>
              <w:t xml:space="preserve">Camada</w:t>
            </w:r>
          </w:p>
        </w:tc>
        <w:tc>
          <w:tcPr>
            <w:shd w:fill="DDDDDD" w:val="clear"/>
          </w:tcPr>
          <w:p>
            <w:pPr>
              <w:spacing w:line="240"/>
              <w:jc w:val="left"/>
            </w:pPr>
            <w:r>
              <w:rPr>
                <w:rFonts w:ascii="Times New Roman" w:cs="Times New Roman" w:eastAsia="Times New Roman" w:hAnsi="Times New Roman"/>
                <w:b/>
                <w:bCs/>
                <w:i w:val="false"/>
                <w:iCs w:val="false"/>
                <w:sz w:val="22"/>
                <w:szCs w:val="22"/>
              </w:rPr>
              <w:t xml:space="preserve">Tecnologia adotada</w:t>
            </w:r>
          </w:p>
        </w:tc>
        <w:tc>
          <w:tcPr>
            <w:shd w:fill="DDDDDD" w:val="clear"/>
          </w:tcPr>
          <w:p>
            <w:pPr>
              <w:spacing w:line="240"/>
              <w:jc w:val="left"/>
            </w:pPr>
            <w:r>
              <w:rPr>
                <w:rFonts w:ascii="Times New Roman" w:cs="Times New Roman" w:eastAsia="Times New Roman" w:hAnsi="Times New Roman"/>
                <w:b/>
                <w:bCs/>
                <w:i w:val="false"/>
                <w:iCs w:val="false"/>
                <w:sz w:val="22"/>
                <w:szCs w:val="22"/>
              </w:rPr>
              <w:t xml:space="preserve">Função principal</w:t>
            </w:r>
          </w:p>
        </w:tc>
      </w:tr>
      <w:tr>
        <w:trPr>
          <w:tblHeader w:val="false"/>
        </w:trPr>
        <w:tc>
          <w:p>
            <w:pPr>
              <w:spacing w:line="240"/>
              <w:jc w:val="left"/>
            </w:pPr>
            <w:r>
              <w:rPr>
                <w:rFonts w:ascii="Times New Roman" w:cs="Times New Roman" w:eastAsia="Times New Roman" w:hAnsi="Times New Roman"/>
                <w:b w:val="false"/>
                <w:bCs w:val="false"/>
                <w:i/>
                <w:iCs/>
                <w:sz w:val="22"/>
                <w:szCs w:val="22"/>
              </w:rPr>
              <w:t xml:space="preserve">Front-end</w:t>
            </w:r>
          </w:p>
        </w:tc>
        <w:tc>
          <w:p>
            <w:pPr>
              <w:spacing w:line="240"/>
              <w:jc w:val="left"/>
            </w:pPr>
            <w:r>
              <w:rPr>
                <w:rFonts w:ascii="Times New Roman" w:cs="Times New Roman" w:eastAsia="Times New Roman" w:hAnsi="Times New Roman"/>
                <w:b w:val="false"/>
                <w:bCs w:val="false"/>
                <w:i w:val="false"/>
                <w:iCs w:val="false"/>
                <w:sz w:val="22"/>
                <w:szCs w:val="22"/>
              </w:rPr>
              <w:t xml:space="preserve">React 19, Vite e Tailwind CSS</w:t>
            </w:r>
          </w:p>
        </w:tc>
        <w:tc>
          <w:p>
            <w:pPr>
              <w:spacing w:line="240"/>
              <w:jc w:val="left"/>
            </w:pPr>
            <w:r>
              <w:rPr>
                <w:rFonts w:ascii="Times New Roman" w:cs="Times New Roman" w:eastAsia="Times New Roman" w:hAnsi="Times New Roman"/>
                <w:b w:val="false"/>
                <w:bCs w:val="false"/>
                <w:i w:val="false"/>
                <w:iCs w:val="false"/>
                <w:sz w:val="22"/>
                <w:szCs w:val="22"/>
              </w:rPr>
              <w:t xml:space="preserve">Interface da loja e do painel administrativo</w:t>
            </w:r>
          </w:p>
        </w:tc>
      </w:tr>
      <w:tr>
        <w:trPr>
          <w:tblHeader w:val="false"/>
        </w:trPr>
        <w:tc>
          <w:p>
            <w:pPr>
              <w:spacing w:line="240"/>
              <w:jc w:val="left"/>
            </w:pPr>
            <w:r>
              <w:rPr>
                <w:rFonts w:ascii="Times New Roman" w:cs="Times New Roman" w:eastAsia="Times New Roman" w:hAnsi="Times New Roman"/>
                <w:b w:val="false"/>
                <w:bCs w:val="false"/>
                <w:i/>
                <w:iCs/>
                <w:sz w:val="22"/>
                <w:szCs w:val="22"/>
              </w:rPr>
              <w:t xml:space="preserve">Back-end</w:t>
            </w:r>
          </w:p>
        </w:tc>
        <w:tc>
          <w:p>
            <w:pPr>
              <w:spacing w:line="240"/>
              <w:jc w:val="left"/>
            </w:pPr>
            <w:r>
              <w:rPr>
                <w:rFonts w:ascii="Times New Roman" w:cs="Times New Roman" w:eastAsia="Times New Roman" w:hAnsi="Times New Roman"/>
                <w:b w:val="false"/>
                <w:bCs w:val="false"/>
                <w:i w:val="false"/>
                <w:iCs w:val="false"/>
                <w:sz w:val="22"/>
                <w:szCs w:val="22"/>
              </w:rPr>
              <w:t xml:space="preserve">Funções </w:t>
            </w:r>
            <w:r>
              <w:rPr>
                <w:rFonts w:ascii="Times New Roman" w:cs="Times New Roman" w:eastAsia="Times New Roman" w:hAnsi="Times New Roman"/>
                <w:b w:val="false"/>
                <w:bCs w:val="false"/>
                <w:i/>
                <w:iCs/>
                <w:sz w:val="22"/>
                <w:szCs w:val="22"/>
              </w:rPr>
              <w:t xml:space="preserve">serverless</w:t>
            </w:r>
            <w:r>
              <w:rPr>
                <w:rFonts w:ascii="Times New Roman" w:cs="Times New Roman" w:eastAsia="Times New Roman" w:hAnsi="Times New Roman"/>
                <w:b w:val="false"/>
                <w:bCs w:val="false"/>
                <w:i w:val="false"/>
                <w:iCs w:val="false"/>
                <w:sz w:val="22"/>
                <w:szCs w:val="22"/>
              </w:rPr>
              <w:t xml:space="preserve"> Node.js (Vercel)</w:t>
            </w:r>
          </w:p>
        </w:tc>
        <w:tc>
          <w:p>
            <w:pPr>
              <w:spacing w:line="240"/>
              <w:jc w:val="left"/>
            </w:pPr>
            <w:r>
              <w:rPr>
                <w:rFonts w:ascii="Times New Roman" w:cs="Times New Roman" w:eastAsia="Times New Roman" w:hAnsi="Times New Roman"/>
                <w:b w:val="false"/>
                <w:bCs w:val="false"/>
                <w:i w:val="false"/>
                <w:iCs w:val="false"/>
                <w:sz w:val="22"/>
                <w:szCs w:val="22"/>
              </w:rPr>
              <w:t xml:space="preserve">Regras de negócio e integração com serviços externos</w:t>
            </w:r>
          </w:p>
        </w:tc>
      </w:tr>
      <w:tr>
        <w:trPr>
          <w:tblHeader w:val="false"/>
        </w:trPr>
        <w:tc>
          <w:p>
            <w:pPr>
              <w:spacing w:line="240"/>
              <w:jc w:val="left"/>
            </w:pPr>
            <w:r>
              <w:rPr>
                <w:rFonts w:ascii="Times New Roman" w:cs="Times New Roman" w:eastAsia="Times New Roman" w:hAnsi="Times New Roman"/>
                <w:b w:val="false"/>
                <w:bCs w:val="false"/>
                <w:i w:val="false"/>
                <w:iCs w:val="false"/>
                <w:sz w:val="22"/>
                <w:szCs w:val="22"/>
              </w:rPr>
              <w:t xml:space="preserve">Banco de dados</w:t>
            </w:r>
          </w:p>
        </w:tc>
        <w:tc>
          <w:p>
            <w:pPr>
              <w:spacing w:line="240"/>
              <w:jc w:val="left"/>
            </w:pPr>
            <w:r>
              <w:rPr>
                <w:rFonts w:ascii="Times New Roman" w:cs="Times New Roman" w:eastAsia="Times New Roman" w:hAnsi="Times New Roman"/>
                <w:b w:val="false"/>
                <w:bCs w:val="false"/>
                <w:i w:val="false"/>
                <w:iCs w:val="false"/>
                <w:sz w:val="22"/>
                <w:szCs w:val="22"/>
              </w:rPr>
              <w:t xml:space="preserve">Supabase (PostgreSQL gerenciado)</w:t>
            </w:r>
          </w:p>
        </w:tc>
        <w:tc>
          <w:p>
            <w:pPr>
              <w:spacing w:line="240"/>
              <w:jc w:val="left"/>
            </w:pPr>
            <w:r>
              <w:rPr>
                <w:rFonts w:ascii="Times New Roman" w:cs="Times New Roman" w:eastAsia="Times New Roman" w:hAnsi="Times New Roman"/>
                <w:b w:val="false"/>
                <w:bCs w:val="false"/>
                <w:i w:val="false"/>
                <w:iCs w:val="false"/>
                <w:sz w:val="22"/>
                <w:szCs w:val="22"/>
              </w:rPr>
              <w:t xml:space="preserve">Persistência, autenticação e Row Level Security</w:t>
            </w:r>
          </w:p>
        </w:tc>
      </w:tr>
      <w:tr>
        <w:trPr>
          <w:tblHeader w:val="false"/>
        </w:trPr>
        <w:tc>
          <w:p>
            <w:pPr>
              <w:spacing w:line="240"/>
              <w:jc w:val="left"/>
            </w:pPr>
            <w:r>
              <w:rPr>
                <w:rFonts w:ascii="Times New Roman" w:cs="Times New Roman" w:eastAsia="Times New Roman" w:hAnsi="Times New Roman"/>
                <w:b w:val="false"/>
                <w:bCs w:val="false"/>
                <w:i w:val="false"/>
                <w:iCs w:val="false"/>
                <w:sz w:val="22"/>
                <w:szCs w:val="22"/>
              </w:rPr>
              <w:t xml:space="preserve">Pagamentos</w:t>
            </w:r>
          </w:p>
        </w:tc>
        <w:tc>
          <w:p>
            <w:pPr>
              <w:spacing w:line="240"/>
              <w:jc w:val="left"/>
            </w:pPr>
            <w:r>
              <w:rPr>
                <w:rFonts w:ascii="Times New Roman" w:cs="Times New Roman" w:eastAsia="Times New Roman" w:hAnsi="Times New Roman"/>
                <w:b w:val="false"/>
                <w:bCs w:val="false"/>
                <w:i w:val="false"/>
                <w:iCs w:val="false"/>
                <w:sz w:val="22"/>
                <w:szCs w:val="22"/>
              </w:rPr>
              <w:t xml:space="preserve">Mercado Pago</w:t>
            </w:r>
          </w:p>
        </w:tc>
        <w:tc>
          <w:p>
            <w:pPr>
              <w:spacing w:line="240"/>
              <w:jc w:val="left"/>
            </w:pPr>
            <w:r>
              <w:rPr>
                <w:rFonts w:ascii="Times New Roman" w:cs="Times New Roman" w:eastAsia="Times New Roman" w:hAnsi="Times New Roman"/>
                <w:b w:val="false"/>
                <w:bCs w:val="false"/>
                <w:i w:val="false"/>
                <w:iCs w:val="false"/>
                <w:sz w:val="22"/>
                <w:szCs w:val="22"/>
              </w:rPr>
              <w:t xml:space="preserve">Cartão, Pix e boleto com confirmação por </w:t>
            </w:r>
            <w:r>
              <w:rPr>
                <w:rFonts w:ascii="Times New Roman" w:cs="Times New Roman" w:eastAsia="Times New Roman" w:hAnsi="Times New Roman"/>
                <w:b w:val="false"/>
                <w:bCs w:val="false"/>
                <w:i/>
                <w:iCs/>
                <w:sz w:val="22"/>
                <w:szCs w:val="22"/>
              </w:rPr>
              <w:t xml:space="preserve">webhook</w:t>
            </w:r>
          </w:p>
        </w:tc>
      </w:tr>
      <w:tr>
        <w:trPr>
          <w:tblHeader w:val="false"/>
        </w:trPr>
        <w:tc>
          <w:p>
            <w:pPr>
              <w:spacing w:line="240"/>
              <w:jc w:val="left"/>
            </w:pPr>
            <w:r>
              <w:rPr>
                <w:rFonts w:ascii="Times New Roman" w:cs="Times New Roman" w:eastAsia="Times New Roman" w:hAnsi="Times New Roman"/>
                <w:b w:val="false"/>
                <w:bCs w:val="false"/>
                <w:i w:val="false"/>
                <w:iCs w:val="false"/>
                <w:sz w:val="22"/>
                <w:szCs w:val="22"/>
              </w:rPr>
              <w:t xml:space="preserve">E-mail transacional</w:t>
            </w:r>
          </w:p>
        </w:tc>
        <w:tc>
          <w:p>
            <w:pPr>
              <w:spacing w:line="240"/>
              <w:jc w:val="left"/>
            </w:pPr>
            <w:r>
              <w:rPr>
                <w:rFonts w:ascii="Times New Roman" w:cs="Times New Roman" w:eastAsia="Times New Roman" w:hAnsi="Times New Roman"/>
                <w:b w:val="false"/>
                <w:bCs w:val="false"/>
                <w:i w:val="false"/>
                <w:iCs w:val="false"/>
                <w:sz w:val="22"/>
                <w:szCs w:val="22"/>
              </w:rPr>
              <w:t xml:space="preserve">Resend</w:t>
            </w:r>
          </w:p>
        </w:tc>
        <w:tc>
          <w:p>
            <w:pPr>
              <w:spacing w:line="240"/>
              <w:jc w:val="left"/>
            </w:pPr>
            <w:r>
              <w:rPr>
                <w:rFonts w:ascii="Times New Roman" w:cs="Times New Roman" w:eastAsia="Times New Roman" w:hAnsi="Times New Roman"/>
                <w:b w:val="false"/>
                <w:bCs w:val="false"/>
                <w:i w:val="false"/>
                <w:iCs w:val="false"/>
                <w:sz w:val="22"/>
                <w:szCs w:val="22"/>
              </w:rPr>
              <w:t xml:space="preserve">Envio de mensagens de confirmação, entrega e ciclo de vida</w:t>
            </w:r>
          </w:p>
        </w:tc>
      </w:tr>
      <w:tr>
        <w:trPr>
          <w:tblHeader w:val="false"/>
        </w:trPr>
        <w:tc>
          <w:p>
            <w:pPr>
              <w:spacing w:line="240"/>
              <w:jc w:val="left"/>
            </w:pPr>
            <w:r>
              <w:rPr>
                <w:rFonts w:ascii="Times New Roman" w:cs="Times New Roman" w:eastAsia="Times New Roman" w:hAnsi="Times New Roman"/>
                <w:b w:val="false"/>
                <w:bCs w:val="false"/>
                <w:i w:val="false"/>
                <w:iCs w:val="false"/>
                <w:sz w:val="22"/>
                <w:szCs w:val="22"/>
              </w:rPr>
              <w:t xml:space="preserve">Versionamento</w:t>
            </w:r>
          </w:p>
        </w:tc>
        <w:tc>
          <w:p>
            <w:pPr>
              <w:spacing w:line="240"/>
              <w:jc w:val="left"/>
            </w:pPr>
            <w:r>
              <w:rPr>
                <w:rFonts w:ascii="Times New Roman" w:cs="Times New Roman" w:eastAsia="Times New Roman" w:hAnsi="Times New Roman"/>
                <w:b w:val="false"/>
                <w:bCs w:val="false"/>
                <w:i w:val="false"/>
                <w:iCs w:val="false"/>
                <w:sz w:val="22"/>
                <w:szCs w:val="22"/>
              </w:rPr>
              <w:t xml:space="preserve">Git</w:t>
            </w:r>
          </w:p>
        </w:tc>
        <w:tc>
          <w:p>
            <w:pPr>
              <w:spacing w:line="240"/>
              <w:jc w:val="left"/>
            </w:pPr>
            <w:r>
              <w:rPr>
                <w:rFonts w:ascii="Times New Roman" w:cs="Times New Roman" w:eastAsia="Times New Roman" w:hAnsi="Times New Roman"/>
                <w:b w:val="false"/>
                <w:bCs w:val="false"/>
                <w:i w:val="false"/>
                <w:iCs w:val="false"/>
                <w:sz w:val="22"/>
                <w:szCs w:val="22"/>
              </w:rPr>
              <w:t xml:space="preserve">Controle de versões e histórico do código</w:t>
            </w:r>
          </w:p>
        </w:tc>
      </w:tr>
    </w:tbl>
    <w:p>
      <w:pPr>
        <w:spacing w:after="360" w:before="120" w:line="240"/>
        <w:jc w:val="center"/>
      </w:pPr>
      <w:r>
        <w:rPr>
          <w:rFonts w:ascii="Times New Roman" w:cs="Times New Roman" w:eastAsia="Times New Roman" w:hAnsi="Times New Roman"/>
          <w:b w:val="false"/>
          <w:bCs w:val="false"/>
          <w:i w:val="false"/>
          <w:iCs w:val="false"/>
          <w:sz w:val="20"/>
          <w:szCs w:val="20"/>
        </w:rPr>
        <w:t xml:space="preserve">Fonte: elaborado pelo autor (2026).</w:t>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No </w:t>
      </w:r>
      <w:r>
        <w:rPr>
          <w:rFonts w:ascii="Times New Roman" w:cs="Times New Roman" w:eastAsia="Times New Roman" w:hAnsi="Times New Roman"/>
          <w:b w:val="false"/>
          <w:bCs w:val="false"/>
          <w:i/>
          <w:iCs/>
          <w:sz w:val="24"/>
          <w:szCs w:val="24"/>
        </w:rPr>
        <w:t xml:space="preserve">front-end</w:t>
      </w:r>
      <w:r>
        <w:rPr>
          <w:rFonts w:ascii="Times New Roman" w:cs="Times New Roman" w:eastAsia="Times New Roman" w:hAnsi="Times New Roman"/>
          <w:b w:val="false"/>
          <w:bCs w:val="false"/>
          <w:i w:val="false"/>
          <w:iCs w:val="false"/>
          <w:sz w:val="24"/>
          <w:szCs w:val="24"/>
        </w:rPr>
        <w:t xml:space="preserve">, a adoção do React decorreu de dois fatores. O primeiro é o modelo declarativo de componentes, que favorece a reutilização de interface, aspecto relevante em um painel administrativo composto por treze abas com padrões visuais recorrentes; o segundo é o ecossistema consolidado de bibliotecas, como React Router e react-hook-form, empregadas na navegação e nos formulários (REACT FOUNDATION, 2026). Alternativas como Angular foram preteridas por imporem estrutura mais pesada do que o escopo do projeto exigia. O Vite, por sua vez, substitui os empacotadores tradicionais com recompilação quase instantânea durante o desenvolvimento, o que encurtou o ciclo de experimentação e ajuste da interface.</w:t>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No </w:t>
      </w:r>
      <w:r>
        <w:rPr>
          <w:rFonts w:ascii="Times New Roman" w:cs="Times New Roman" w:eastAsia="Times New Roman" w:hAnsi="Times New Roman"/>
          <w:b w:val="false"/>
          <w:bCs w:val="false"/>
          <w:i/>
          <w:iCs/>
          <w:sz w:val="24"/>
          <w:szCs w:val="24"/>
        </w:rPr>
        <w:t xml:space="preserve">back-end</w:t>
      </w:r>
      <w:r>
        <w:rPr>
          <w:rFonts w:ascii="Times New Roman" w:cs="Times New Roman" w:eastAsia="Times New Roman" w:hAnsi="Times New Roman"/>
          <w:b w:val="false"/>
          <w:bCs w:val="false"/>
          <w:i w:val="false"/>
          <w:iCs w:val="false"/>
          <w:sz w:val="24"/>
          <w:szCs w:val="24"/>
        </w:rPr>
        <w:t xml:space="preserve">, optou-se por funções </w:t>
      </w:r>
      <w:r>
        <w:rPr>
          <w:rFonts w:ascii="Times New Roman" w:cs="Times New Roman" w:eastAsia="Times New Roman" w:hAnsi="Times New Roman"/>
          <w:b w:val="false"/>
          <w:bCs w:val="false"/>
          <w:i/>
          <w:iCs/>
          <w:sz w:val="24"/>
          <w:szCs w:val="24"/>
        </w:rPr>
        <w:t xml:space="preserve">serverless</w:t>
      </w:r>
      <w:r>
        <w:rPr>
          <w:rFonts w:ascii="Times New Roman" w:cs="Times New Roman" w:eastAsia="Times New Roman" w:hAnsi="Times New Roman"/>
          <w:b w:val="false"/>
          <w:bCs w:val="false"/>
          <w:i w:val="false"/>
          <w:iCs w:val="false"/>
          <w:sz w:val="24"/>
          <w:szCs w:val="24"/>
        </w:rPr>
        <w:t xml:space="preserve"> em Node.js hospedadas na Vercel, arranjo em que cada arquivo do diretório api/ corresponde a um </w:t>
      </w:r>
      <w:r>
        <w:rPr>
          <w:rFonts w:ascii="Times New Roman" w:cs="Times New Roman" w:eastAsia="Times New Roman" w:hAnsi="Times New Roman"/>
          <w:b w:val="false"/>
          <w:bCs w:val="false"/>
          <w:i/>
          <w:iCs/>
          <w:sz w:val="24"/>
          <w:szCs w:val="24"/>
        </w:rPr>
        <w:t xml:space="preserve">endpoint</w:t>
      </w:r>
      <w:r>
        <w:rPr>
          <w:rFonts w:ascii="Times New Roman" w:cs="Times New Roman" w:eastAsia="Times New Roman" w:hAnsi="Times New Roman"/>
          <w:b w:val="false"/>
          <w:bCs w:val="false"/>
          <w:i w:val="false"/>
          <w:iCs w:val="false"/>
          <w:sz w:val="24"/>
          <w:szCs w:val="24"/>
        </w:rPr>
        <w:t xml:space="preserve"> HTTP. Roberts (2018) caracteriza esse modelo pela ausência de gestão de servidores e pela cobrança proporcional ao uso, atributos decisivos para uma loja em estágio inicial, cujo tráfego tende a ser baixo e irregular: nos períodos ociosos o custo aproxima-se de zero, ao passo que, nos picos de demanda, a infraestrutura escala sem intervenção manual. A escolha do Node.js manteve uma única linguagem em todo o sistema e ofereceu modelo de entrada e saída não bloqueante, adequado a cargas dominadas por chamadas de rede (OPENJS FOUNDATION, 2026). Um espelho local em Express 5 reproduz os mesmos </w:t>
      </w:r>
      <w:r>
        <w:rPr>
          <w:rFonts w:ascii="Times New Roman" w:cs="Times New Roman" w:eastAsia="Times New Roman" w:hAnsi="Times New Roman"/>
          <w:b w:val="false"/>
          <w:bCs w:val="false"/>
          <w:i/>
          <w:iCs/>
          <w:sz w:val="24"/>
          <w:szCs w:val="24"/>
        </w:rPr>
        <w:t xml:space="preserve">handlers</w:t>
      </w:r>
      <w:r>
        <w:rPr>
          <w:rFonts w:ascii="Times New Roman" w:cs="Times New Roman" w:eastAsia="Times New Roman" w:hAnsi="Times New Roman"/>
          <w:b w:val="false"/>
          <w:bCs w:val="false"/>
          <w:i w:val="false"/>
          <w:iCs w:val="false"/>
          <w:sz w:val="24"/>
          <w:szCs w:val="24"/>
        </w:rPr>
        <w:t xml:space="preserve"> em desenvolvimento, o que evita divergência de comportamento entre os ambientes.</w:t>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A camada de dados utiliza o Supabase, serviço que reúne PostgreSQL gerenciado, autenticação integrada por e-mail e senha ou por OAuth, além de armazenamento de arquivos (SUPABASE, 2026). Provisionar um banco próprio exigiria administrar cópias de segurança, atualizações e segurança de rede, encargos incompatíveis com a manutenção por uma equipe mínima. Pesou ainda o suporte nativo do PostgreSQL ao mecanismo de Row Level Security, que desloca parte do controle de acesso para o próprio banco e reduz a quantidade de código de segurança escrito manualmente na aplicação (POSTGRESQL GLOBAL DEVELOPMENT GROUP, 2026); na plataforma, as dezessete tabelas operam com esse recurso habilitado.</w:t>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Para os pagamentos, o Mercado Pago foi escolhido por concentrar cartão de crédito, Pix e boleto, meios amplamente difundidos entre os consumidores brasileiros, em uma única integração. Contou também a disponibilidade de ambiente de testes (</w:t>
      </w:r>
      <w:r>
        <w:rPr>
          <w:rFonts w:ascii="Times New Roman" w:cs="Times New Roman" w:eastAsia="Times New Roman" w:hAnsi="Times New Roman"/>
          <w:b w:val="false"/>
          <w:bCs w:val="false"/>
          <w:i/>
          <w:iCs/>
          <w:sz w:val="24"/>
          <w:szCs w:val="24"/>
        </w:rPr>
        <w:t xml:space="preserve">sandbox</w:t>
      </w:r>
      <w:r>
        <w:rPr>
          <w:rFonts w:ascii="Times New Roman" w:cs="Times New Roman" w:eastAsia="Times New Roman" w:hAnsi="Times New Roman"/>
          <w:b w:val="false"/>
          <w:bCs w:val="false"/>
          <w:i w:val="false"/>
          <w:iCs w:val="false"/>
          <w:sz w:val="24"/>
          <w:szCs w:val="24"/>
        </w:rPr>
        <w:t xml:space="preserve">), que permitiu validar o fluxo de </w:t>
      </w:r>
      <w:r>
        <w:rPr>
          <w:rFonts w:ascii="Times New Roman" w:cs="Times New Roman" w:eastAsia="Times New Roman" w:hAnsi="Times New Roman"/>
          <w:b w:val="false"/>
          <w:bCs w:val="false"/>
          <w:i/>
          <w:iCs/>
          <w:sz w:val="24"/>
          <w:szCs w:val="24"/>
        </w:rPr>
        <w:t xml:space="preserve">checkout</w:t>
      </w:r>
      <w:r>
        <w:rPr>
          <w:rFonts w:ascii="Times New Roman" w:cs="Times New Roman" w:eastAsia="Times New Roman" w:hAnsi="Times New Roman"/>
          <w:b w:val="false"/>
          <w:bCs w:val="false"/>
          <w:i w:val="false"/>
          <w:iCs w:val="false"/>
          <w:sz w:val="24"/>
          <w:szCs w:val="24"/>
        </w:rPr>
        <w:t xml:space="preserve"> e o </w:t>
      </w:r>
      <w:r>
        <w:rPr>
          <w:rFonts w:ascii="Times New Roman" w:cs="Times New Roman" w:eastAsia="Times New Roman" w:hAnsi="Times New Roman"/>
          <w:b w:val="false"/>
          <w:bCs w:val="false"/>
          <w:i/>
          <w:iCs/>
          <w:sz w:val="24"/>
          <w:szCs w:val="24"/>
        </w:rPr>
        <w:t xml:space="preserve">webhook</w:t>
      </w:r>
      <w:r>
        <w:rPr>
          <w:rFonts w:ascii="Times New Roman" w:cs="Times New Roman" w:eastAsia="Times New Roman" w:hAnsi="Times New Roman"/>
          <w:b w:val="false"/>
          <w:bCs w:val="false"/>
          <w:i w:val="false"/>
          <w:iCs w:val="false"/>
          <w:sz w:val="24"/>
          <w:szCs w:val="24"/>
        </w:rPr>
        <w:t xml:space="preserve"> de confirmação antes da operação com transações reais. O Resend, por seu turno, atende ao envio de e-mails transacionais por SMTP, caso da confirmação de compra, do link de </w:t>
      </w:r>
      <w:r>
        <w:rPr>
          <w:rFonts w:ascii="Times New Roman" w:cs="Times New Roman" w:eastAsia="Times New Roman" w:hAnsi="Times New Roman"/>
          <w:b w:val="false"/>
          <w:bCs w:val="false"/>
          <w:i/>
          <w:iCs/>
          <w:sz w:val="24"/>
          <w:szCs w:val="24"/>
        </w:rPr>
        <w:t xml:space="preserve">download</w:t>
      </w:r>
      <w:r>
        <w:rPr>
          <w:rFonts w:ascii="Times New Roman" w:cs="Times New Roman" w:eastAsia="Times New Roman" w:hAnsi="Times New Roman"/>
          <w:b w:val="false"/>
          <w:bCs w:val="false"/>
          <w:i w:val="false"/>
          <w:iCs w:val="false"/>
          <w:sz w:val="24"/>
          <w:szCs w:val="24"/>
        </w:rPr>
        <w:t xml:space="preserve"> e da recuperação de carrinho abandonado, com verificação de domínio por SPF, DKIM e DMARC, requisito para boa entregabilidade.</w:t>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O versionamento do código foi conduzido com Git, que registra o histórico de alterações e permite experimentação em ramos isolados sem comprometer a versão estável da plataforma. Em contrapartida às vantagens dos serviços gerenciados, reconhece-se certo grau de dependência de fornecedores; a mitigação adotada consistiu em concentrar cada integração em módulos específicos da camada lib/, de modo que a eventual substituição de um serviço afete uma região delimitada do código, e não o sistema como um todo.</w:t>
      </w:r>
    </w:p>
    <w:p>
      <w:pPr>
        <w:pStyle w:val="Heading2"/>
        <w:spacing w:after="360" w:before="360" w:line="360"/>
        <w:jc w:val="left"/>
      </w:pPr>
      <w:r>
        <w:rPr>
          <w:rFonts w:ascii="Times New Roman" w:cs="Times New Roman" w:eastAsia="Times New Roman" w:hAnsi="Times New Roman"/>
          <w:b/>
          <w:bCs/>
          <w:i w:val="false"/>
          <w:iCs w:val="false"/>
          <w:sz w:val="24"/>
          <w:szCs w:val="24"/>
        </w:rPr>
        <w:t xml:space="preserve">4.5 Principais funcionalidades</w:t>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A porta de entrada da plataforma é a vitrine de produtos, montada a partir de seções configuráveis pelo próprio administrador. Na página inicial, os materiais didáticos autorais aparecem em destaque, agrupados em categorias identificadas por cor, selo e ordem de exibição definidos no painel de gestão, de maneira que a curadoria da loja pode ser ajustada sem qualquer alteração de código. O visitante percorre o catálogo com auxílio da busca e dos filtros por categoria, e cada item exibe imagem de capa, preço e eventual valor promocional. A figura a seguir ilustra essa composição.</w:t>
      </w:r>
    </w:p>
    <w:p>
      <w:pPr>
        <w:spacing w:after="120" w:before="240" w:line="360"/>
        <w:jc w:val="center"/>
      </w:pPr>
      <w:r>
        <w:rPr>
          <w:rFonts w:ascii="Times New Roman" w:cs="Times New Roman" w:eastAsia="Times New Roman" w:hAnsi="Times New Roman"/>
          <w:b w:val="false"/>
          <w:bCs w:val="false"/>
          <w:i w:val="false"/>
          <w:iCs w:val="false"/>
          <w:sz w:val="24"/>
          <w:szCs w:val="24"/>
        </w:rPr>
        <w:t xml:space="preserve">Figura 4 – Página inicial da plataforma com a vitrine de produtos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4253" w:hRule="atLeast"/>
        </w:trPr>
        <w:tc>
          <w:tcPr>
            <w:vAlign w:val="center"/>
          </w:tcPr>
          <w:p>
            <w:pPr>
              <w:spacing w:line="360"/>
              <w:jc w:val="center"/>
            </w:pPr>
            <w:r>
              <w:rPr>
                <w:rFonts w:ascii="Times New Roman" w:cs="Times New Roman" w:eastAsia="Times New Roman" w:hAnsi="Times New Roman"/>
                <w:sz w:val="24"/>
                <w:szCs w:val="24"/>
                <w:highlight w:val="yellow"/>
                <w:highlightCs w:val="yellow"/>
              </w:rPr>
              <w:t xml:space="preserve">[ INSERIR AQUI O PRINT / IMAGEM ]</w:t>
            </w:r>
          </w:p>
        </w:tc>
      </w:tr>
    </w:tbl>
    <w:p>
      <w:pPr>
        <w:spacing w:after="360" w:before="120" w:line="240"/>
        <w:jc w:val="center"/>
      </w:pPr>
      <w:r>
        <w:rPr>
          <w:rFonts w:ascii="Times New Roman" w:cs="Times New Roman" w:eastAsia="Times New Roman" w:hAnsi="Times New Roman"/>
          <w:b w:val="false"/>
          <w:bCs w:val="false"/>
          <w:i w:val="false"/>
          <w:iCs w:val="false"/>
          <w:sz w:val="20"/>
          <w:szCs w:val="20"/>
        </w:rPr>
        <w:t xml:space="preserve">Fonte: elaborada pelo autor (2026).</w:t>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Ao selecionar um produto, o usuário é conduzido à página de detalhes, acessível por endereço amigável gerado automaticamente a partir do nome do item. Essa tela concentra os elementos de apresentação do material: galeria de imagens e vídeos demonstrativos, descrição pedagógica, lista de benefícios, perguntas frequentes e depoimentos de compradores, todos mantidos em campos estruturados do catálogo e editáveis pelo administrador. Há ainda sugestões de itens complementares (</w:t>
      </w:r>
      <w:r>
        <w:rPr>
          <w:rFonts w:ascii="Times New Roman" w:cs="Times New Roman" w:eastAsia="Times New Roman" w:hAnsi="Times New Roman"/>
          <w:b w:val="false"/>
          <w:bCs w:val="false"/>
          <w:i/>
          <w:iCs/>
          <w:sz w:val="24"/>
          <w:szCs w:val="24"/>
        </w:rPr>
        <w:t xml:space="preserve">cross-sell</w:t>
      </w:r>
      <w:r>
        <w:rPr>
          <w:rFonts w:ascii="Times New Roman" w:cs="Times New Roman" w:eastAsia="Times New Roman" w:hAnsi="Times New Roman"/>
          <w:b w:val="false"/>
          <w:bCs w:val="false"/>
          <w:i w:val="false"/>
          <w:iCs w:val="false"/>
          <w:sz w:val="24"/>
          <w:szCs w:val="24"/>
        </w:rPr>
        <w:t xml:space="preserve">), calculadas no servidor com base no histórico de pedidos. Essa página é apresentada na figura a seguir.</w:t>
      </w:r>
    </w:p>
    <w:p>
      <w:pPr>
        <w:spacing w:after="120" w:before="240" w:line="360"/>
        <w:jc w:val="center"/>
      </w:pPr>
      <w:r>
        <w:rPr>
          <w:rFonts w:ascii="Times New Roman" w:cs="Times New Roman" w:eastAsia="Times New Roman" w:hAnsi="Times New Roman"/>
          <w:b w:val="false"/>
          <w:bCs w:val="false"/>
          <w:i w:val="false"/>
          <w:iCs w:val="false"/>
          <w:sz w:val="24"/>
          <w:szCs w:val="24"/>
        </w:rPr>
        <w:t xml:space="preserve">Figura 5 – Página de detalhes do produto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4253" w:hRule="atLeast"/>
        </w:trPr>
        <w:tc>
          <w:tcPr>
            <w:vAlign w:val="center"/>
          </w:tcPr>
          <w:p>
            <w:pPr>
              <w:spacing w:line="360"/>
              <w:jc w:val="center"/>
            </w:pPr>
            <w:r>
              <w:rPr>
                <w:rFonts w:ascii="Times New Roman" w:cs="Times New Roman" w:eastAsia="Times New Roman" w:hAnsi="Times New Roman"/>
                <w:sz w:val="24"/>
                <w:szCs w:val="24"/>
                <w:highlight w:val="yellow"/>
                <w:highlightCs w:val="yellow"/>
              </w:rPr>
              <w:t xml:space="preserve">[ INSERIR AQUI O PRINT / IMAGEM ]</w:t>
            </w:r>
          </w:p>
        </w:tc>
      </w:tr>
    </w:tbl>
    <w:p>
      <w:pPr>
        <w:spacing w:after="360" w:before="120" w:line="240"/>
        <w:jc w:val="center"/>
      </w:pPr>
      <w:r>
        <w:rPr>
          <w:rFonts w:ascii="Times New Roman" w:cs="Times New Roman" w:eastAsia="Times New Roman" w:hAnsi="Times New Roman"/>
          <w:b w:val="false"/>
          <w:bCs w:val="false"/>
          <w:i w:val="false"/>
          <w:iCs w:val="false"/>
          <w:sz w:val="20"/>
          <w:szCs w:val="20"/>
        </w:rPr>
        <w:t xml:space="preserve">Fonte: elaborada pelo autor (2026).</w:t>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O carrinho de compras fica armazenado no próprio navegador, o que permite montar o pedido sem cadastro prévio; entretanto, ao iniciar o </w:t>
      </w:r>
      <w:r>
        <w:rPr>
          <w:rFonts w:ascii="Times New Roman" w:cs="Times New Roman" w:eastAsia="Times New Roman" w:hAnsi="Times New Roman"/>
          <w:b w:val="false"/>
          <w:bCs w:val="false"/>
          <w:i/>
          <w:iCs/>
          <w:sz w:val="24"/>
          <w:szCs w:val="24"/>
        </w:rPr>
        <w:t xml:space="preserve">checkout</w:t>
      </w:r>
      <w:r>
        <w:rPr>
          <w:rFonts w:ascii="Times New Roman" w:cs="Times New Roman" w:eastAsia="Times New Roman" w:hAnsi="Times New Roman"/>
          <w:b w:val="false"/>
          <w:bCs w:val="false"/>
          <w:i w:val="false"/>
          <w:iCs w:val="false"/>
          <w:sz w:val="24"/>
          <w:szCs w:val="24"/>
        </w:rPr>
        <w:t xml:space="preserve">, todos os preços são revalidados no servidor contra o catálogo oficial, o que impede a manipulação de valores no cliente. Nessa etapa, o comprador informa nome, e-mail e CPF, sendo possível concluir a compra inclusive na condição de convidado, e pode aplicar um cupom promocional, validado exclusivamente no </w:t>
      </w:r>
      <w:r>
        <w:rPr>
          <w:rFonts w:ascii="Times New Roman" w:cs="Times New Roman" w:eastAsia="Times New Roman" w:hAnsi="Times New Roman"/>
          <w:b w:val="false"/>
          <w:bCs w:val="false"/>
          <w:i/>
          <w:iCs/>
          <w:sz w:val="24"/>
          <w:szCs w:val="24"/>
        </w:rPr>
        <w:t xml:space="preserve">back-end</w:t>
      </w:r>
      <w:r>
        <w:rPr>
          <w:rFonts w:ascii="Times New Roman" w:cs="Times New Roman" w:eastAsia="Times New Roman" w:hAnsi="Times New Roman"/>
          <w:b w:val="false"/>
          <w:bCs w:val="false"/>
          <w:i w:val="false"/>
          <w:iCs w:val="false"/>
          <w:sz w:val="24"/>
          <w:szCs w:val="24"/>
        </w:rPr>
        <w:t xml:space="preserve"> quanto a vigência, limite de usos, valor mínimo e produtos contemplados. O carrinho e o início desse fluxo aparecem na figura a seguir.</w:t>
      </w:r>
    </w:p>
    <w:p>
      <w:pPr>
        <w:spacing w:after="120" w:before="240" w:line="360"/>
        <w:jc w:val="center"/>
      </w:pPr>
      <w:r>
        <w:rPr>
          <w:rFonts w:ascii="Times New Roman" w:cs="Times New Roman" w:eastAsia="Times New Roman" w:hAnsi="Times New Roman"/>
          <w:b w:val="false"/>
          <w:bCs w:val="false"/>
          <w:i w:val="false"/>
          <w:iCs w:val="false"/>
          <w:sz w:val="24"/>
          <w:szCs w:val="24"/>
        </w:rPr>
        <w:t xml:space="preserve">Figura 6 – Carrinho de compras e início do </w:t>
      </w:r>
      <w:r>
        <w:rPr>
          <w:rFonts w:ascii="Times New Roman" w:cs="Times New Roman" w:eastAsia="Times New Roman" w:hAnsi="Times New Roman"/>
          <w:b w:val="false"/>
          <w:bCs w:val="false"/>
          <w:i/>
          <w:iCs/>
          <w:sz w:val="24"/>
          <w:szCs w:val="24"/>
        </w:rPr>
        <w:t xml:space="preserve">checkout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4253" w:hRule="atLeast"/>
        </w:trPr>
        <w:tc>
          <w:tcPr>
            <w:vAlign w:val="center"/>
          </w:tcPr>
          <w:p>
            <w:pPr>
              <w:spacing w:line="360"/>
              <w:jc w:val="center"/>
            </w:pPr>
            <w:r>
              <w:rPr>
                <w:rFonts w:ascii="Times New Roman" w:cs="Times New Roman" w:eastAsia="Times New Roman" w:hAnsi="Times New Roman"/>
                <w:sz w:val="24"/>
                <w:szCs w:val="24"/>
                <w:highlight w:val="yellow"/>
                <w:highlightCs w:val="yellow"/>
              </w:rPr>
              <w:t xml:space="preserve">[ INSERIR AQUI O PRINT / IMAGEM ]</w:t>
            </w:r>
          </w:p>
        </w:tc>
      </w:tr>
    </w:tbl>
    <w:p>
      <w:pPr>
        <w:spacing w:after="360" w:before="120" w:line="240"/>
        <w:jc w:val="center"/>
      </w:pPr>
      <w:r>
        <w:rPr>
          <w:rFonts w:ascii="Times New Roman" w:cs="Times New Roman" w:eastAsia="Times New Roman" w:hAnsi="Times New Roman"/>
          <w:b w:val="false"/>
          <w:bCs w:val="false"/>
          <w:i w:val="false"/>
          <w:iCs w:val="false"/>
          <w:sz w:val="20"/>
          <w:szCs w:val="20"/>
        </w:rPr>
        <w:t xml:space="preserve">Fonte: elaborada pelo autor (2026).</w:t>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Confirmados os itens, a plataforma registra o pedido em situação pendente e gera uma preferência de pagamento no Mercado Pago, provedor que disponibiliza cartão de crédito, Pix e boleto. Enquanto a transação não é aprovada, nenhum arquivo é liberado, conforme ilustra a figura a seguir.</w:t>
      </w:r>
    </w:p>
    <w:p>
      <w:pPr>
        <w:spacing w:after="120" w:before="240" w:line="360"/>
        <w:jc w:val="center"/>
      </w:pPr>
      <w:r>
        <w:rPr>
          <w:rFonts w:ascii="Times New Roman" w:cs="Times New Roman" w:eastAsia="Times New Roman" w:hAnsi="Times New Roman"/>
          <w:b w:val="false"/>
          <w:bCs w:val="false"/>
          <w:i w:val="false"/>
          <w:iCs w:val="false"/>
          <w:sz w:val="24"/>
          <w:szCs w:val="24"/>
        </w:rPr>
        <w:t xml:space="preserve">Figura 7 – Tela de pagamento integrada ao Mercado Pago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4253" w:hRule="atLeast"/>
        </w:trPr>
        <w:tc>
          <w:tcPr>
            <w:vAlign w:val="center"/>
          </w:tcPr>
          <w:p>
            <w:pPr>
              <w:spacing w:line="360"/>
              <w:jc w:val="center"/>
            </w:pPr>
            <w:r>
              <w:rPr>
                <w:rFonts w:ascii="Times New Roman" w:cs="Times New Roman" w:eastAsia="Times New Roman" w:hAnsi="Times New Roman"/>
                <w:sz w:val="24"/>
                <w:szCs w:val="24"/>
                <w:highlight w:val="yellow"/>
                <w:highlightCs w:val="yellow"/>
              </w:rPr>
              <w:t xml:space="preserve">[ INSERIR AQUI O PRINT / IMAGEM ]</w:t>
            </w:r>
          </w:p>
        </w:tc>
      </w:tr>
    </w:tbl>
    <w:p>
      <w:pPr>
        <w:spacing w:after="360" w:before="120" w:line="240"/>
        <w:jc w:val="center"/>
      </w:pPr>
      <w:r>
        <w:rPr>
          <w:rFonts w:ascii="Times New Roman" w:cs="Times New Roman" w:eastAsia="Times New Roman" w:hAnsi="Times New Roman"/>
          <w:b w:val="false"/>
          <w:bCs w:val="false"/>
          <w:i w:val="false"/>
          <w:iCs w:val="false"/>
          <w:sz w:val="20"/>
          <w:szCs w:val="20"/>
        </w:rPr>
        <w:t xml:space="preserve">Fonte: elaborada pelo autor (2026).</w:t>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A confirmação ocorre por </w:t>
      </w:r>
      <w:r>
        <w:rPr>
          <w:rFonts w:ascii="Times New Roman" w:cs="Times New Roman" w:eastAsia="Times New Roman" w:hAnsi="Times New Roman"/>
          <w:b w:val="false"/>
          <w:bCs w:val="false"/>
          <w:i/>
          <w:iCs/>
          <w:sz w:val="24"/>
          <w:szCs w:val="24"/>
        </w:rPr>
        <w:t xml:space="preserve">webhook</w:t>
      </w:r>
      <w:r>
        <w:rPr>
          <w:rFonts w:ascii="Times New Roman" w:cs="Times New Roman" w:eastAsia="Times New Roman" w:hAnsi="Times New Roman"/>
          <w:b w:val="false"/>
          <w:bCs w:val="false"/>
          <w:i w:val="false"/>
          <w:iCs w:val="false"/>
          <w:sz w:val="24"/>
          <w:szCs w:val="24"/>
        </w:rPr>
        <w:t xml:space="preserve">: a notificação enviada pelo provedor tem a assinatura verificada por HMAC e, sendo a transação aprovada, o sistema atualiza o pedido, gera </w:t>
      </w:r>
      <w:r>
        <w:rPr>
          <w:rFonts w:ascii="Times New Roman" w:cs="Times New Roman" w:eastAsia="Times New Roman" w:hAnsi="Times New Roman"/>
          <w:b w:val="false"/>
          <w:bCs w:val="false"/>
          <w:i/>
          <w:iCs/>
          <w:sz w:val="24"/>
          <w:szCs w:val="24"/>
        </w:rPr>
        <w:t xml:space="preserve">tokens</w:t>
      </w:r>
      <w:r>
        <w:rPr>
          <w:rFonts w:ascii="Times New Roman" w:cs="Times New Roman" w:eastAsia="Times New Roman" w:hAnsi="Times New Roman"/>
          <w:b w:val="false"/>
          <w:bCs w:val="false"/>
          <w:i w:val="false"/>
          <w:iCs w:val="false"/>
          <w:sz w:val="24"/>
          <w:szCs w:val="24"/>
        </w:rPr>
        <w:t xml:space="preserve"> temporários de </w:t>
      </w:r>
      <w:r>
        <w:rPr>
          <w:rFonts w:ascii="Times New Roman" w:cs="Times New Roman" w:eastAsia="Times New Roman" w:hAnsi="Times New Roman"/>
          <w:b w:val="false"/>
          <w:bCs w:val="false"/>
          <w:i/>
          <w:iCs/>
          <w:sz w:val="24"/>
          <w:szCs w:val="24"/>
        </w:rPr>
        <w:t xml:space="preserve">download</w:t>
      </w:r>
      <w:r>
        <w:rPr>
          <w:rFonts w:ascii="Times New Roman" w:cs="Times New Roman" w:eastAsia="Times New Roman" w:hAnsi="Times New Roman"/>
          <w:b w:val="false"/>
          <w:bCs w:val="false"/>
          <w:i w:val="false"/>
          <w:iCs w:val="false"/>
          <w:sz w:val="24"/>
          <w:szCs w:val="24"/>
        </w:rPr>
        <w:t xml:space="preserve">, vincula os produtos à conta do comprador e dispara o e-mail com os </w:t>
      </w:r>
      <w:r>
        <w:rPr>
          <w:rFonts w:ascii="Times New Roman" w:cs="Times New Roman" w:eastAsia="Times New Roman" w:hAnsi="Times New Roman"/>
          <w:b w:val="false"/>
          <w:bCs w:val="false"/>
          <w:i/>
          <w:iCs/>
          <w:sz w:val="24"/>
          <w:szCs w:val="24"/>
        </w:rPr>
        <w:t xml:space="preserve">links</w:t>
      </w:r>
      <w:r>
        <w:rPr>
          <w:rFonts w:ascii="Times New Roman" w:cs="Times New Roman" w:eastAsia="Times New Roman" w:hAnsi="Times New Roman"/>
          <w:b w:val="false"/>
          <w:bCs w:val="false"/>
          <w:i w:val="false"/>
          <w:iCs w:val="false"/>
          <w:sz w:val="24"/>
          <w:szCs w:val="24"/>
        </w:rPr>
        <w:t xml:space="preserve"> de acesso, em fluxo idempotente. Como contingência, o navegador consulta periodicamente o estado do pedido, de modo que a liberação acontece mesmo diante de eventual atraso na notificação. O cliente autenticado, por e-mail e senha ou pela conta Google, dispõe de área pessoal com o histórico de pedidos e os arquivos adquiridos, cujos </w:t>
      </w:r>
      <w:r>
        <w:rPr>
          <w:rFonts w:ascii="Times New Roman" w:cs="Times New Roman" w:eastAsia="Times New Roman" w:hAnsi="Times New Roman"/>
          <w:b w:val="false"/>
          <w:bCs w:val="false"/>
          <w:i/>
          <w:iCs/>
          <w:sz w:val="24"/>
          <w:szCs w:val="24"/>
        </w:rPr>
        <w:t xml:space="preserve">downloads</w:t>
      </w:r>
      <w:r>
        <w:rPr>
          <w:rFonts w:ascii="Times New Roman" w:cs="Times New Roman" w:eastAsia="Times New Roman" w:hAnsi="Times New Roman"/>
          <w:b w:val="false"/>
          <w:bCs w:val="false"/>
          <w:i w:val="false"/>
          <w:iCs w:val="false"/>
          <w:sz w:val="24"/>
          <w:szCs w:val="24"/>
        </w:rPr>
        <w:t xml:space="preserve"> permanecem disponíveis durante a validade do </w:t>
      </w:r>
      <w:r>
        <w:rPr>
          <w:rFonts w:ascii="Times New Roman" w:cs="Times New Roman" w:eastAsia="Times New Roman" w:hAnsi="Times New Roman"/>
          <w:b w:val="false"/>
          <w:bCs w:val="false"/>
          <w:i/>
          <w:iCs/>
          <w:sz w:val="24"/>
          <w:szCs w:val="24"/>
        </w:rPr>
        <w:t xml:space="preserve">token</w:t>
      </w:r>
      <w:r>
        <w:rPr>
          <w:rFonts w:ascii="Times New Roman" w:cs="Times New Roman" w:eastAsia="Times New Roman" w:hAnsi="Times New Roman"/>
          <w:b w:val="false"/>
          <w:bCs w:val="false"/>
          <w:i w:val="false"/>
          <w:iCs w:val="false"/>
          <w:sz w:val="24"/>
          <w:szCs w:val="24"/>
        </w:rPr>
        <w:t xml:space="preserve">; a mesma área oferece a exclusão da conta em autosserviço, em atendimento ao direito de eliminação previsto na legislação de proteção de dados.</w:t>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A administração da loja concentra-se em um painel protegido por autenticação dedicada, com segunda etapa opcional baseada em código temporal e PIN de recuperação. Na visão geral, exibida na figura a seguir, são resumidos a receita do período, os pedidos recentes e os principais indicadores de desempenho da loja.</w:t>
      </w:r>
    </w:p>
    <w:p>
      <w:pPr>
        <w:spacing w:after="120" w:before="240" w:line="360"/>
        <w:jc w:val="center"/>
      </w:pPr>
      <w:r>
        <w:rPr>
          <w:rFonts w:ascii="Times New Roman" w:cs="Times New Roman" w:eastAsia="Times New Roman" w:hAnsi="Times New Roman"/>
          <w:b w:val="false"/>
          <w:bCs w:val="false"/>
          <w:i w:val="false"/>
          <w:iCs w:val="false"/>
          <w:sz w:val="24"/>
          <w:szCs w:val="24"/>
        </w:rPr>
        <w:t xml:space="preserve">Figura 8 – Painel administrativo — visão geral (</w:t>
      </w:r>
      <w:r>
        <w:rPr>
          <w:rFonts w:ascii="Times New Roman" w:cs="Times New Roman" w:eastAsia="Times New Roman" w:hAnsi="Times New Roman"/>
          <w:b w:val="false"/>
          <w:bCs w:val="false"/>
          <w:i/>
          <w:iCs/>
          <w:sz w:val="24"/>
          <w:szCs w:val="24"/>
        </w:rPr>
        <w:t xml:space="preserve">dashboard</w:t>
      </w:r>
      <w:r>
        <w:rPr>
          <w:rFonts w:ascii="Times New Roman" w:cs="Times New Roman" w:eastAsia="Times New Roman" w:hAnsi="Times New Roman"/>
          <w:b w:val="false"/>
          <w:bCs w:val="false"/>
          <w:i w:val="false"/>
          <w:iCs w:val="false"/>
          <w:sz w:val="24"/>
          <w:szCs w:val="24"/>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4253" w:hRule="atLeast"/>
        </w:trPr>
        <w:tc>
          <w:tcPr>
            <w:vAlign w:val="center"/>
          </w:tcPr>
          <w:p>
            <w:pPr>
              <w:spacing w:line="360"/>
              <w:jc w:val="center"/>
            </w:pPr>
            <w:r>
              <w:rPr>
                <w:rFonts w:ascii="Times New Roman" w:cs="Times New Roman" w:eastAsia="Times New Roman" w:hAnsi="Times New Roman"/>
                <w:sz w:val="24"/>
                <w:szCs w:val="24"/>
                <w:highlight w:val="yellow"/>
                <w:highlightCs w:val="yellow"/>
              </w:rPr>
              <w:t xml:space="preserve">[ INSERIR AQUI O PRINT / IMAGEM ]</w:t>
            </w:r>
          </w:p>
        </w:tc>
      </w:tr>
    </w:tbl>
    <w:p>
      <w:pPr>
        <w:spacing w:after="360" w:before="120" w:line="240"/>
        <w:jc w:val="center"/>
      </w:pPr>
      <w:r>
        <w:rPr>
          <w:rFonts w:ascii="Times New Roman" w:cs="Times New Roman" w:eastAsia="Times New Roman" w:hAnsi="Times New Roman"/>
          <w:b w:val="false"/>
          <w:bCs w:val="false"/>
          <w:i w:val="false"/>
          <w:iCs w:val="false"/>
          <w:sz w:val="20"/>
          <w:szCs w:val="20"/>
        </w:rPr>
        <w:t xml:space="preserve">Fonte: elaborada pelo autor (2026).</w:t>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A partir dessa visão, a gestão de produtos emprega um assistente em etapas que conduz o cadastro de dados, mídias, preço e arquivo digital de entrega. Abas específicas tratam categorias, pedidos, usuários e configurações da vitrine, e toda operação de escrita fica registrada em trilha de auditoria com os estados anterior e posterior de cada registro.</w:t>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O módulo de cupons completa o ciclo comercial: o administrador cria códigos com desconto percentual ou fixo, janela de validade, limite de usos, valor mínimo de pedido e restrição por categoria ou produto, regras aplicadas integralmente pelo servidor no momento da compra, como se observa na figura a seguir. Mecanismos promocionais dessa natureza atuam como incentivo direto à conversão e à recompra (KOTLER; KELLER, 2019).</w:t>
      </w:r>
    </w:p>
    <w:p>
      <w:pPr>
        <w:spacing w:after="120" w:before="240" w:line="360"/>
        <w:jc w:val="center"/>
      </w:pPr>
      <w:r>
        <w:rPr>
          <w:rFonts w:ascii="Times New Roman" w:cs="Times New Roman" w:eastAsia="Times New Roman" w:hAnsi="Times New Roman"/>
          <w:b w:val="false"/>
          <w:bCs w:val="false"/>
          <w:i w:val="false"/>
          <w:iCs w:val="false"/>
          <w:sz w:val="24"/>
          <w:szCs w:val="24"/>
        </w:rPr>
        <w:t xml:space="preserve">Figura 9 – Gestão de cupons no painel administrativo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4253" w:hRule="atLeast"/>
        </w:trPr>
        <w:tc>
          <w:tcPr>
            <w:vAlign w:val="center"/>
          </w:tcPr>
          <w:p>
            <w:pPr>
              <w:spacing w:line="360"/>
              <w:jc w:val="center"/>
            </w:pPr>
            <w:r>
              <w:rPr>
                <w:rFonts w:ascii="Times New Roman" w:cs="Times New Roman" w:eastAsia="Times New Roman" w:hAnsi="Times New Roman"/>
                <w:sz w:val="24"/>
                <w:szCs w:val="24"/>
                <w:highlight w:val="yellow"/>
                <w:highlightCs w:val="yellow"/>
              </w:rPr>
              <w:t xml:space="preserve">[ INSERIR AQUI O PRINT / IMAGEM ]</w:t>
            </w:r>
          </w:p>
        </w:tc>
      </w:tr>
    </w:tbl>
    <w:p>
      <w:pPr>
        <w:spacing w:after="360" w:before="120" w:line="240"/>
        <w:jc w:val="center"/>
      </w:pPr>
      <w:r>
        <w:rPr>
          <w:rFonts w:ascii="Times New Roman" w:cs="Times New Roman" w:eastAsia="Times New Roman" w:hAnsi="Times New Roman"/>
          <w:b w:val="false"/>
          <w:bCs w:val="false"/>
          <w:i w:val="false"/>
          <w:iCs w:val="false"/>
          <w:sz w:val="20"/>
          <w:szCs w:val="20"/>
        </w:rPr>
        <w:t xml:space="preserve">Fonte: elaborada pelo autor (2026).</w:t>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Por fim, o painel reúne os relatórios analíticos da operação. O funil de conversão acompanha as etapas de visualização do produto, inclusão no carrinho, início de </w:t>
      </w:r>
      <w:r>
        <w:rPr>
          <w:rFonts w:ascii="Times New Roman" w:cs="Times New Roman" w:eastAsia="Times New Roman" w:hAnsi="Times New Roman"/>
          <w:b w:val="false"/>
          <w:bCs w:val="false"/>
          <w:i/>
          <w:iCs/>
          <w:sz w:val="24"/>
          <w:szCs w:val="24"/>
        </w:rPr>
        <w:t xml:space="preserve">checkout</w:t>
      </w:r>
      <w:r>
        <w:rPr>
          <w:rFonts w:ascii="Times New Roman" w:cs="Times New Roman" w:eastAsia="Times New Roman" w:hAnsi="Times New Roman"/>
          <w:b w:val="false"/>
          <w:bCs w:val="false"/>
          <w:i w:val="false"/>
          <w:iCs w:val="false"/>
          <w:sz w:val="24"/>
          <w:szCs w:val="24"/>
        </w:rPr>
        <w:t xml:space="preserve"> e compra, apontando taxas de passagem e pontos de abandono; a Curva ABC classifica produtos e clientes segundo a concentração de receita; a segmentação comportamental agrupa compradores recorrentes, eventuais e inativos para campanhas de e-mail; e a matriz de coortes mede a recompra ao longo dos meses, ao lado de indicadores como conversão, tíquete médio e valor de vida do cliente. A figura a seguir exemplifica esses relatórios.</w:t>
      </w:r>
    </w:p>
    <w:p>
      <w:pPr>
        <w:spacing w:after="120" w:before="240" w:line="360"/>
        <w:jc w:val="center"/>
      </w:pPr>
      <w:r>
        <w:rPr>
          <w:rFonts w:ascii="Times New Roman" w:cs="Times New Roman" w:eastAsia="Times New Roman" w:hAnsi="Times New Roman"/>
          <w:b w:val="false"/>
          <w:bCs w:val="false"/>
          <w:i w:val="false"/>
          <w:iCs w:val="false"/>
          <w:sz w:val="24"/>
          <w:szCs w:val="24"/>
        </w:rPr>
        <w:t xml:space="preserve">Figura 10 – Relatórios analíticos do painel (funil de conversão e Curva ABC)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4253" w:hRule="atLeast"/>
        </w:trPr>
        <w:tc>
          <w:tcPr>
            <w:vAlign w:val="center"/>
          </w:tcPr>
          <w:p>
            <w:pPr>
              <w:spacing w:line="360"/>
              <w:jc w:val="center"/>
            </w:pPr>
            <w:r>
              <w:rPr>
                <w:rFonts w:ascii="Times New Roman" w:cs="Times New Roman" w:eastAsia="Times New Roman" w:hAnsi="Times New Roman"/>
                <w:sz w:val="24"/>
                <w:szCs w:val="24"/>
                <w:highlight w:val="yellow"/>
                <w:highlightCs w:val="yellow"/>
              </w:rPr>
              <w:t xml:space="preserve">[ INSERIR AQUI O PRINT / IMAGEM ]</w:t>
            </w:r>
          </w:p>
        </w:tc>
      </w:tr>
    </w:tbl>
    <w:p>
      <w:pPr>
        <w:spacing w:after="360" w:before="120" w:line="240"/>
        <w:jc w:val="center"/>
      </w:pPr>
      <w:r>
        <w:rPr>
          <w:rFonts w:ascii="Times New Roman" w:cs="Times New Roman" w:eastAsia="Times New Roman" w:hAnsi="Times New Roman"/>
          <w:b w:val="false"/>
          <w:bCs w:val="false"/>
          <w:i w:val="false"/>
          <w:iCs w:val="false"/>
          <w:sz w:val="20"/>
          <w:szCs w:val="20"/>
        </w:rPr>
        <w:t xml:space="preserve">Fonte: elaborada pelo autor (2026).</w:t>
      </w:r>
    </w:p>
    <w:p>
      <w:pPr>
        <w:pStyle w:val="Heading2"/>
        <w:spacing w:after="360" w:before="360" w:line="360"/>
        <w:jc w:val="left"/>
      </w:pPr>
      <w:r>
        <w:rPr>
          <w:rFonts w:ascii="Times New Roman" w:cs="Times New Roman" w:eastAsia="Times New Roman" w:hAnsi="Times New Roman"/>
          <w:b/>
          <w:bCs/>
          <w:i w:val="false"/>
          <w:iCs w:val="false"/>
          <w:sz w:val="24"/>
          <w:szCs w:val="24"/>
        </w:rPr>
        <w:t xml:space="preserve">4.6 Aspectos de segurança e privacidade</w:t>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A segurança foi tratada como requisito não funcional transversal, presente da modelagem do banco de dados à camada de apresentação, em consonância com a recomendação de que atributos de qualidade dessa natureza sejam incorporados ao projeto desde o início, e não acrescentados ao término do desenvolvimento (PRESSMAN; MAXIM, 2016). A autenticação dos clientes é delegada ao serviço de autenticação do Supabase, que oferece cadastro por e-mail e senha e acesso por meio da conta Google, este último conduzido pelo fluxo OAuth com a extensão PKCE, indicada para aplicações de página única (SUPABASE, 2026). Validado o </w:t>
      </w:r>
      <w:r>
        <w:rPr>
          <w:rFonts w:ascii="Times New Roman" w:cs="Times New Roman" w:eastAsia="Times New Roman" w:hAnsi="Times New Roman"/>
          <w:b w:val="false"/>
          <w:bCs w:val="false"/>
          <w:i/>
          <w:iCs/>
          <w:sz w:val="24"/>
          <w:szCs w:val="24"/>
        </w:rPr>
        <w:t xml:space="preserve">token</w:t>
      </w:r>
      <w:r>
        <w:rPr>
          <w:rFonts w:ascii="Times New Roman" w:cs="Times New Roman" w:eastAsia="Times New Roman" w:hAnsi="Times New Roman"/>
          <w:b w:val="false"/>
          <w:bCs w:val="false"/>
          <w:i w:val="false"/>
          <w:iCs w:val="false"/>
          <w:sz w:val="24"/>
          <w:szCs w:val="24"/>
        </w:rPr>
        <w:t xml:space="preserve"> pelo </w:t>
      </w:r>
      <w:r>
        <w:rPr>
          <w:rFonts w:ascii="Times New Roman" w:cs="Times New Roman" w:eastAsia="Times New Roman" w:hAnsi="Times New Roman"/>
          <w:b w:val="false"/>
          <w:bCs w:val="false"/>
          <w:i/>
          <w:iCs/>
          <w:sz w:val="24"/>
          <w:szCs w:val="24"/>
        </w:rPr>
        <w:t xml:space="preserve">back-end</w:t>
      </w:r>
      <w:r>
        <w:rPr>
          <w:rFonts w:ascii="Times New Roman" w:cs="Times New Roman" w:eastAsia="Times New Roman" w:hAnsi="Times New Roman"/>
          <w:b w:val="false"/>
          <w:bCs w:val="false"/>
          <w:i w:val="false"/>
          <w:iCs w:val="false"/>
          <w:sz w:val="24"/>
          <w:szCs w:val="24"/>
        </w:rPr>
        <w:t xml:space="preserve">, é emitido um </w:t>
      </w:r>
      <w:r>
        <w:rPr>
          <w:rFonts w:ascii="Times New Roman" w:cs="Times New Roman" w:eastAsia="Times New Roman" w:hAnsi="Times New Roman"/>
          <w:b w:val="false"/>
          <w:bCs w:val="false"/>
          <w:i/>
          <w:iCs/>
          <w:sz w:val="24"/>
          <w:szCs w:val="24"/>
        </w:rPr>
        <w:t xml:space="preserve">cookie</w:t>
      </w:r>
      <w:r>
        <w:rPr>
          <w:rFonts w:ascii="Times New Roman" w:cs="Times New Roman" w:eastAsia="Times New Roman" w:hAnsi="Times New Roman"/>
          <w:b w:val="false"/>
          <w:bCs w:val="false"/>
          <w:i w:val="false"/>
          <w:iCs w:val="false"/>
          <w:sz w:val="24"/>
          <w:szCs w:val="24"/>
        </w:rPr>
        <w:t xml:space="preserve"> de sessão com o atributo HttpOnly, assinado com HMAC-SHA256, restrito ao próprio domínio e com expiração em oito horas. Essa configuração impede que </w:t>
      </w:r>
      <w:r>
        <w:rPr>
          <w:rFonts w:ascii="Times New Roman" w:cs="Times New Roman" w:eastAsia="Times New Roman" w:hAnsi="Times New Roman"/>
          <w:b w:val="false"/>
          <w:bCs w:val="false"/>
          <w:i/>
          <w:iCs/>
          <w:sz w:val="24"/>
          <w:szCs w:val="24"/>
        </w:rPr>
        <w:t xml:space="preserve">scripts</w:t>
      </w:r>
      <w:r>
        <w:rPr>
          <w:rFonts w:ascii="Times New Roman" w:cs="Times New Roman" w:eastAsia="Times New Roman" w:hAnsi="Times New Roman"/>
          <w:b w:val="false"/>
          <w:bCs w:val="false"/>
          <w:i w:val="false"/>
          <w:iCs w:val="false"/>
          <w:sz w:val="24"/>
          <w:szCs w:val="24"/>
        </w:rPr>
        <w:t xml:space="preserve"> injetados na página leiam a credencial e dificulta o sequestro de sessão.</w:t>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O painel administrativo possui fluxo de autenticação próprio, independente do cadastro de clientes. Às credenciais convencionais pode ser acrescentado um segundo fator baseado em senhas temporárias TOTP, geradas por aplicativo autenticador, acompanhado de um PIN de recuperação armazenado exclusivamente como </w:t>
      </w:r>
      <w:r>
        <w:rPr>
          <w:rFonts w:ascii="Times New Roman" w:cs="Times New Roman" w:eastAsia="Times New Roman" w:hAnsi="Times New Roman"/>
          <w:b w:val="false"/>
          <w:bCs w:val="false"/>
          <w:i/>
          <w:iCs/>
          <w:sz w:val="24"/>
          <w:szCs w:val="24"/>
        </w:rPr>
        <w:t xml:space="preserve">hash</w:t>
      </w:r>
      <w:r>
        <w:rPr>
          <w:rFonts w:ascii="Times New Roman" w:cs="Times New Roman" w:eastAsia="Times New Roman" w:hAnsi="Times New Roman"/>
          <w:b w:val="false"/>
          <w:bCs w:val="false"/>
          <w:i w:val="false"/>
          <w:iCs w:val="false"/>
          <w:sz w:val="24"/>
          <w:szCs w:val="24"/>
        </w:rPr>
        <w:t xml:space="preserve"> bcrypt. A sessão administrativa emprega cookie opaco distinto do cookie de cliente, também com validade de oito horas, e as tentativas de </w:t>
      </w:r>
      <w:r>
        <w:rPr>
          <w:rFonts w:ascii="Times New Roman" w:cs="Times New Roman" w:eastAsia="Times New Roman" w:hAnsi="Times New Roman"/>
          <w:b w:val="false"/>
          <w:bCs w:val="false"/>
          <w:i/>
          <w:iCs/>
          <w:sz w:val="24"/>
          <w:szCs w:val="24"/>
        </w:rPr>
        <w:t xml:space="preserve">login</w:t>
      </w:r>
      <w:r>
        <w:rPr>
          <w:rFonts w:ascii="Times New Roman" w:cs="Times New Roman" w:eastAsia="Times New Roman" w:hAnsi="Times New Roman"/>
          <w:b w:val="false"/>
          <w:bCs w:val="false"/>
          <w:i w:val="false"/>
          <w:iCs w:val="false"/>
          <w:sz w:val="24"/>
          <w:szCs w:val="24"/>
        </w:rPr>
        <w:t xml:space="preserve"> ficam limitadas a cinco falhas por janela de dez minutos, barreira que encarece ataques de força bruta. Completam o conjunto a política de segurança de conteúdo estrita, o cabeçalho HSTS e a exigência de HTTPS em produção.</w:t>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Na camada de dados, as dezessete tabelas operam com Row Level Security habilitado, mecanismo nativo do PostgreSQL que condiciona cada leitura ou escrita a políticas declarativas avaliadas pelo próprio gerenciador (POSTGRESQL GLOBAL DEVELOPMENT GROUP, 2026). Tabelas sensíveis, como as de tokens de </w:t>
      </w:r>
      <w:r>
        <w:rPr>
          <w:rFonts w:ascii="Times New Roman" w:cs="Times New Roman" w:eastAsia="Times New Roman" w:hAnsi="Times New Roman"/>
          <w:b w:val="false"/>
          <w:bCs w:val="false"/>
          <w:i/>
          <w:iCs/>
          <w:sz w:val="24"/>
          <w:szCs w:val="24"/>
        </w:rPr>
        <w:t xml:space="preserve">download</w:t>
      </w:r>
      <w:r>
        <w:rPr>
          <w:rFonts w:ascii="Times New Roman" w:cs="Times New Roman" w:eastAsia="Times New Roman" w:hAnsi="Times New Roman"/>
          <w:b w:val="false"/>
          <w:bCs w:val="false"/>
          <w:i w:val="false"/>
          <w:iCs w:val="false"/>
          <w:sz w:val="24"/>
          <w:szCs w:val="24"/>
        </w:rPr>
        <w:t xml:space="preserve">, cupons, eventos de segurança e configurações, não recebem política alguma e, por consequência, só se tornam acessíveis à chave de serviço utilizada pelo back-end, nunca ao navegador. Já a escalada de privilégios na tabela de perfis é bloqueada por permissões em nível de coluna: o cliente autenticado consegue alterar apenas o próprio nome de exibição, jamais o papel atribuído à conta.</w:t>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As ações administrativas de escrita são registradas em tabela de auditoria dedicada, que armazena a operação realizada (criação, atualização ou exclusão), o tipo e o identificador do registro afetado, os estados anterior e posterior do dado em formato JSON e o endereço IP de origem. Esse registro confere rastreabilidade às alterações de catálogo, pedidos e cupons e permite reconstituir quem fez o quê, e quando, em eventual apuração de incidente, conforme ilustra a figura a seguir.</w:t>
      </w:r>
    </w:p>
    <w:p>
      <w:pPr>
        <w:spacing w:after="120" w:before="240" w:line="360"/>
        <w:jc w:val="center"/>
      </w:pPr>
      <w:r>
        <w:rPr>
          <w:rFonts w:ascii="Times New Roman" w:cs="Times New Roman" w:eastAsia="Times New Roman" w:hAnsi="Times New Roman"/>
          <w:b w:val="false"/>
          <w:bCs w:val="false"/>
          <w:i w:val="false"/>
          <w:iCs w:val="false"/>
          <w:sz w:val="24"/>
          <w:szCs w:val="24"/>
        </w:rPr>
        <w:t xml:space="preserve">Figura 11 – Registro de auditoria das ações administrativas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4253" w:hRule="atLeast"/>
        </w:trPr>
        <w:tc>
          <w:tcPr>
            <w:vAlign w:val="center"/>
          </w:tcPr>
          <w:p>
            <w:pPr>
              <w:spacing w:line="360"/>
              <w:jc w:val="center"/>
            </w:pPr>
            <w:r>
              <w:rPr>
                <w:rFonts w:ascii="Times New Roman" w:cs="Times New Roman" w:eastAsia="Times New Roman" w:hAnsi="Times New Roman"/>
                <w:sz w:val="24"/>
                <w:szCs w:val="24"/>
                <w:highlight w:val="yellow"/>
                <w:highlightCs w:val="yellow"/>
              </w:rPr>
              <w:t xml:space="preserve">[ INSERIR AQUI O PRINT / IMAGEM ]</w:t>
            </w:r>
          </w:p>
        </w:tc>
      </w:tr>
    </w:tbl>
    <w:p>
      <w:pPr>
        <w:spacing w:after="360" w:before="120" w:line="240"/>
        <w:jc w:val="center"/>
      </w:pPr>
      <w:r>
        <w:rPr>
          <w:rFonts w:ascii="Times New Roman" w:cs="Times New Roman" w:eastAsia="Times New Roman" w:hAnsi="Times New Roman"/>
          <w:b w:val="false"/>
          <w:bCs w:val="false"/>
          <w:i w:val="false"/>
          <w:iCs w:val="false"/>
          <w:sz w:val="20"/>
          <w:szCs w:val="20"/>
        </w:rPr>
        <w:t xml:space="preserve">Fonte: elaborada pelo autor (2026).</w:t>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No tocante à privacidade, a plataforma observa a Lei Geral de Proteção de Dados Pessoais (BRASIL, 2018a) em três frentes. A primeira é a minimização: não são coletados endereço, telefone nem dados de cartão; o e-mail registrado nos eventos de </w:t>
      </w:r>
      <w:r>
        <w:rPr>
          <w:rFonts w:ascii="Times New Roman" w:cs="Times New Roman" w:eastAsia="Times New Roman" w:hAnsi="Times New Roman"/>
          <w:b w:val="false"/>
          <w:bCs w:val="false"/>
          <w:i/>
          <w:iCs/>
          <w:sz w:val="24"/>
          <w:szCs w:val="24"/>
        </w:rPr>
        <w:t xml:space="preserve">analytics</w:t>
      </w:r>
      <w:r>
        <w:rPr>
          <w:rFonts w:ascii="Times New Roman" w:cs="Times New Roman" w:eastAsia="Times New Roman" w:hAnsi="Times New Roman"/>
          <w:b w:val="false"/>
          <w:bCs w:val="false"/>
          <w:i w:val="false"/>
          <w:iCs w:val="false"/>
          <w:sz w:val="24"/>
          <w:szCs w:val="24"/>
        </w:rPr>
        <w:t xml:space="preserve"> aparece apenas como hash truncado; e um </w:t>
      </w:r>
      <w:r>
        <w:rPr>
          <w:rFonts w:ascii="Times New Roman" w:cs="Times New Roman" w:eastAsia="Times New Roman" w:hAnsi="Times New Roman"/>
          <w:b w:val="false"/>
          <w:bCs w:val="false"/>
          <w:i/>
          <w:iCs/>
          <w:sz w:val="24"/>
          <w:szCs w:val="24"/>
        </w:rPr>
        <w:t xml:space="preserve">banner</w:t>
      </w:r>
      <w:r>
        <w:rPr>
          <w:rFonts w:ascii="Times New Roman" w:cs="Times New Roman" w:eastAsia="Times New Roman" w:hAnsi="Times New Roman"/>
          <w:b w:val="false"/>
          <w:bCs w:val="false"/>
          <w:i w:val="false"/>
          <w:iCs w:val="false"/>
          <w:sz w:val="24"/>
          <w:szCs w:val="24"/>
        </w:rPr>
        <w:t xml:space="preserve"> de consentimento condiciona o carregamento dos rastreadores de marketing à anuência prévia do visitante. A segunda diz respeito aos prazos de retenção, com expurgo automático e periódico dos registros de download e dos eventos de funil e de segurança. A terceira atende aos direitos do titular e se materializa na exclusão de conta em autosserviço, conduzida em duas etapas: a solicitação autenticada gera um token de confirmação enviado por e-mail, com validade de uma hora; confirmada a intenção, a conta é removida com efeito em cascata sobre o perfil e os produtos adquiridos. Os dados pessoais dos pedidos são então anonimizados, de modo a preservar o histórico para fins fiscais, os tokens de download são apagados e o descadastramento da </w:t>
      </w:r>
      <w:r>
        <w:rPr>
          <w:rFonts w:ascii="Times New Roman" w:cs="Times New Roman" w:eastAsia="Times New Roman" w:hAnsi="Times New Roman"/>
          <w:b w:val="false"/>
          <w:bCs w:val="false"/>
          <w:i/>
          <w:iCs/>
          <w:sz w:val="24"/>
          <w:szCs w:val="24"/>
        </w:rPr>
        <w:t xml:space="preserve">newsletter</w:t>
      </w:r>
      <w:r>
        <w:rPr>
          <w:rFonts w:ascii="Times New Roman" w:cs="Times New Roman" w:eastAsia="Times New Roman" w:hAnsi="Times New Roman"/>
          <w:b w:val="false"/>
          <w:bCs w:val="false"/>
          <w:i w:val="false"/>
          <w:iCs w:val="false"/>
          <w:sz w:val="24"/>
          <w:szCs w:val="24"/>
        </w:rPr>
        <w:t xml:space="preserve"> é efetivado, com o evento correspondente registrado na trilha de segurança.</w:t>
      </w:r>
    </w:p>
    <w:p>
      <w:pPr>
        <w:pStyle w:val="Heading1"/>
        <w:pageBreakBefore/>
        <w:spacing w:after="360" w:before="0" w:line="360"/>
        <w:jc w:val="left"/>
      </w:pPr>
      <w:r>
        <w:rPr>
          <w:rFonts w:ascii="Times New Roman" w:cs="Times New Roman" w:eastAsia="Times New Roman" w:hAnsi="Times New Roman"/>
          <w:b/>
          <w:bCs/>
          <w:i w:val="false"/>
          <w:iCs w:val="false"/>
          <w:sz w:val="24"/>
          <w:szCs w:val="24"/>
        </w:rPr>
        <w:t xml:space="preserve">5 RESULTADOS E DISCUSSÃO</w:t>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O ponto de partida deste trabalho foi o circuito informal pelo qual professores da educação básica comercializam seus materiais didáticos autorais: a divulgação ocorre em grupos de WhatsApp e perfis em redes sociais, os arquivos circulam por pastas compartilhadas no Google Drive e o pagamento se resolve por transferência via Pix, sem qualquer vínculo formal entre as partes. Trata-se de um arranjo que reproduz, na esfera digital, a precarização já identificada no trabalho docente, dado que a renda obtida depende de relações pessoais e carece de instrumentos mínimos de garantia (OLIVEIRA, 2004). Os resultados aqui discutidos confrontam esse cenário com aquilo que a versão implementada do Ateliê Escolar efetivamente entrega, ponto a ponto, para então retomar a pergunta de pesquisa e expor as limitações do protótipo.</w:t>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O primeiro contraste diz respeito à visibilidade dos materiais. Nos canais informais, a divulgação é efêmera: uma postagem em grupo de mensagens desaparece sob o fluxo de novas conversas em poucas horas, e quem não a viu naquele momento dificilmente a recupera. A plataforma substitui essa lógica por um catálogo permanente, organizado em categorias, com endereços estáveis gerados a partir do nome de cada produto e mapa do site exposto a mecanismos de busca. Cada material passa a ter página própria, com descrição, imagens, preço e perguntas frequentes, o que o torna localizável a qualquer tempo. Esse deslocamento aproxima a oferta docente da dinâmica de nicho descrita por Anderson (2006), na qual produtos de demanda específica se tornam economicamente viáveis quando podem ser encontrados pelo público interessado.</w:t>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O pagamento expõe uma segunda fragilidade do arranjo informal. Nesse circuito, o comprador transfere o valor por Pix e confia que o vendedor enviará o arquivo; o vendedor, por sua vez, precisa conferir manualmente cada comprovante. A plataforma integra o </w:t>
      </w:r>
      <w:r>
        <w:rPr>
          <w:rFonts w:ascii="Times New Roman" w:cs="Times New Roman" w:eastAsia="Times New Roman" w:hAnsi="Times New Roman"/>
          <w:b w:val="false"/>
          <w:bCs w:val="false"/>
          <w:i/>
          <w:iCs/>
          <w:sz w:val="24"/>
          <w:szCs w:val="24"/>
        </w:rPr>
        <w:t xml:space="preserve">checkout</w:t>
      </w:r>
      <w:r>
        <w:rPr>
          <w:rFonts w:ascii="Times New Roman" w:cs="Times New Roman" w:eastAsia="Times New Roman" w:hAnsi="Times New Roman"/>
          <w:b w:val="false"/>
          <w:bCs w:val="false"/>
          <w:i w:val="false"/>
          <w:iCs w:val="false"/>
          <w:sz w:val="24"/>
          <w:szCs w:val="24"/>
        </w:rPr>
        <w:t xml:space="preserve"> ao Mercado Pago, com cartão, Pix e boleto, e a confirmação ocorre de forma automática: a notificação do provedor é validada criptograficamente antes de qualquer liberação, e um mecanismo de verificação periódica cobre eventuais falhas de notificação. A confiança deixa de repousar na palavra das partes e passa a ser sustentada por um intermediário de pagamento e por registros verificáveis, condição apontada como central para a consolidação de transações de comércio eletrônico (LAUDON; TRAVER, 2023).</w:t>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Na entrega, o envio manual de arquivos dá lugar a um fluxo controlado: aprovado o pagamento, o sistema gera </w:t>
      </w:r>
      <w:r>
        <w:rPr>
          <w:rFonts w:ascii="Times New Roman" w:cs="Times New Roman" w:eastAsia="Times New Roman" w:hAnsi="Times New Roman"/>
          <w:b w:val="false"/>
          <w:bCs w:val="false"/>
          <w:i/>
          <w:iCs/>
          <w:sz w:val="24"/>
          <w:szCs w:val="24"/>
        </w:rPr>
        <w:t xml:space="preserve">tokens</w:t>
      </w:r>
      <w:r>
        <w:rPr>
          <w:rFonts w:ascii="Times New Roman" w:cs="Times New Roman" w:eastAsia="Times New Roman" w:hAnsi="Times New Roman"/>
          <w:b w:val="false"/>
          <w:bCs w:val="false"/>
          <w:i w:val="false"/>
          <w:iCs w:val="false"/>
          <w:sz w:val="24"/>
          <w:szCs w:val="24"/>
        </w:rPr>
        <w:t xml:space="preserve"> de </w:t>
      </w:r>
      <w:r>
        <w:rPr>
          <w:rFonts w:ascii="Times New Roman" w:cs="Times New Roman" w:eastAsia="Times New Roman" w:hAnsi="Times New Roman"/>
          <w:b w:val="false"/>
          <w:bCs w:val="false"/>
          <w:i/>
          <w:iCs/>
          <w:sz w:val="24"/>
          <w:szCs w:val="24"/>
        </w:rPr>
        <w:t xml:space="preserve">download</w:t>
      </w:r>
      <w:r>
        <w:rPr>
          <w:rFonts w:ascii="Times New Roman" w:cs="Times New Roman" w:eastAsia="Times New Roman" w:hAnsi="Times New Roman"/>
          <w:b w:val="false"/>
          <w:bCs w:val="false"/>
          <w:i w:val="false"/>
          <w:iCs w:val="false"/>
          <w:sz w:val="24"/>
          <w:szCs w:val="24"/>
        </w:rPr>
        <w:t xml:space="preserve"> com prazo de validade e endereços assinados de curta duração, registrando cada acesso em trilha própria. O comprador recebe o material imediatamente, sem depender da disponibilidade do vendedor, e o autor ganha um grau de controle sobre a circulação dos arquivos que inexiste quando o </w:t>
      </w:r>
      <w:r>
        <w:rPr>
          <w:rFonts w:ascii="Times New Roman" w:cs="Times New Roman" w:eastAsia="Times New Roman" w:hAnsi="Times New Roman"/>
          <w:b w:val="false"/>
          <w:bCs w:val="false"/>
          <w:i/>
          <w:iCs/>
          <w:sz w:val="24"/>
          <w:szCs w:val="24"/>
        </w:rPr>
        <w:t xml:space="preserve">link</w:t>
      </w:r>
      <w:r>
        <w:rPr>
          <w:rFonts w:ascii="Times New Roman" w:cs="Times New Roman" w:eastAsia="Times New Roman" w:hAnsi="Times New Roman"/>
          <w:b w:val="false"/>
          <w:bCs w:val="false"/>
          <w:i w:val="false"/>
          <w:iCs w:val="false"/>
          <w:sz w:val="24"/>
          <w:szCs w:val="24"/>
        </w:rPr>
        <w:t xml:space="preserve"> de uma pasta compartilhada pode ser repassado indefinidamente. Ainda que nenhuma solução técnica impeça por completo a cópia não autorizada, a mediação por tokens e o registro de downloads criam condições mais favoráveis ao exercício dos direitos do autor sobre sua obra (BRASIL, 1998).</w:t>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A gestão do negócio também muda de natureza. Onde antes havia planilhas improvisadas e conversas dispersas, o painel administrativo concentra pedidos, cupons promocionais com regras de validade e escopo, indicadores de funil de conversão, classificação de produtos por curva ABC e segmentação de clientes por recência, frequência e valor, além da análise de coortes de recompra. Informações que o professor autor simplesmente não possuía nos canais informais — quais materiais vendem mais, quais clientes retornam, em que etapa o comprador desiste — passam a orientar decisões de precificação e divulgação, prática alinhada à gestão de marketing orientada por dados (KOTLER; KELLER, 2019).</w:t>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Por fim, no plano da proteção de dados e da auditoria, a distância em relação ao arranjo informal talvez seja a mais nítida. Todas as tabelas do banco operam sob políticas de segurança em nível de linha, as ações administrativas de escrita são registradas em </w:t>
      </w:r>
      <w:r>
        <w:rPr>
          <w:rFonts w:ascii="Times New Roman" w:cs="Times New Roman" w:eastAsia="Times New Roman" w:hAnsi="Times New Roman"/>
          <w:b w:val="false"/>
          <w:bCs w:val="false"/>
          <w:i/>
          <w:iCs/>
          <w:sz w:val="24"/>
          <w:szCs w:val="24"/>
        </w:rPr>
        <w:t xml:space="preserve">log</w:t>
      </w:r>
      <w:r>
        <w:rPr>
          <w:rFonts w:ascii="Times New Roman" w:cs="Times New Roman" w:eastAsia="Times New Roman" w:hAnsi="Times New Roman"/>
          <w:b w:val="false"/>
          <w:bCs w:val="false"/>
          <w:i w:val="false"/>
          <w:iCs w:val="false"/>
          <w:sz w:val="24"/>
          <w:szCs w:val="24"/>
        </w:rPr>
        <w:t xml:space="preserve"> de auditoria com o estado anterior e posterior de cada registro, e o titular pode excluir a própria conta em autosserviço, com anonimização dos dados pessoais nos pedidos e preservação apenas do histórico fiscal, em atendimento à Lei Geral de Proteção de Dados (BRASIL, 2018a). Nos canais informais, em contrapartida, dados de compradores ficam dispersos em conversas privadas, sem consentimento estruturado nem possibilidade real de eliminação. O quadro a seguir sintetiza os contrastes discutidos.</w:t>
      </w:r>
    </w:p>
    <w:p>
      <w:pPr>
        <w:spacing w:after="120" w:before="240" w:line="360"/>
        <w:jc w:val="center"/>
      </w:pPr>
      <w:r>
        <w:rPr>
          <w:rFonts w:ascii="Times New Roman" w:cs="Times New Roman" w:eastAsia="Times New Roman" w:hAnsi="Times New Roman"/>
          <w:b w:val="false"/>
          <w:bCs w:val="false"/>
          <w:i w:val="false"/>
          <w:iCs w:val="false"/>
          <w:sz w:val="24"/>
          <w:szCs w:val="24"/>
        </w:rPr>
        <w:t xml:space="preserve">Quadro 5 – Comparação entre o circuito informal de venda e a plataforma Ateliê Escolar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DDDDDD" w:val="clear"/>
          </w:tcPr>
          <w:p>
            <w:pPr>
              <w:spacing w:line="240"/>
              <w:jc w:val="left"/>
            </w:pPr>
            <w:r>
              <w:rPr>
                <w:rFonts w:ascii="Times New Roman" w:cs="Times New Roman" w:eastAsia="Times New Roman" w:hAnsi="Times New Roman"/>
                <w:b/>
                <w:bCs/>
                <w:i w:val="false"/>
                <w:iCs w:val="false"/>
                <w:sz w:val="22"/>
                <w:szCs w:val="22"/>
              </w:rPr>
              <w:t xml:space="preserve">Dimensão</w:t>
            </w:r>
          </w:p>
        </w:tc>
        <w:tc>
          <w:tcPr>
            <w:shd w:fill="DDDDDD" w:val="clear"/>
          </w:tcPr>
          <w:p>
            <w:pPr>
              <w:spacing w:line="240"/>
              <w:jc w:val="left"/>
            </w:pPr>
            <w:r>
              <w:rPr>
                <w:rFonts w:ascii="Times New Roman" w:cs="Times New Roman" w:eastAsia="Times New Roman" w:hAnsi="Times New Roman"/>
                <w:b/>
                <w:bCs/>
                <w:i w:val="false"/>
                <w:iCs w:val="false"/>
                <w:sz w:val="22"/>
                <w:szCs w:val="22"/>
              </w:rPr>
              <w:t xml:space="preserve">Circuito informal</w:t>
            </w:r>
          </w:p>
        </w:tc>
        <w:tc>
          <w:tcPr>
            <w:shd w:fill="DDDDDD" w:val="clear"/>
          </w:tcPr>
          <w:p>
            <w:pPr>
              <w:spacing w:line="240"/>
              <w:jc w:val="left"/>
            </w:pPr>
            <w:r>
              <w:rPr>
                <w:rFonts w:ascii="Times New Roman" w:cs="Times New Roman" w:eastAsia="Times New Roman" w:hAnsi="Times New Roman"/>
                <w:b/>
                <w:bCs/>
                <w:i w:val="false"/>
                <w:iCs w:val="false"/>
                <w:sz w:val="22"/>
                <w:szCs w:val="22"/>
              </w:rPr>
              <w:t xml:space="preserve">Ateliê Escolar</w:t>
            </w:r>
          </w:p>
        </w:tc>
      </w:tr>
      <w:tr>
        <w:trPr>
          <w:tblHeader w:val="false"/>
        </w:trPr>
        <w:tc>
          <w:p>
            <w:pPr>
              <w:spacing w:line="240"/>
              <w:jc w:val="left"/>
            </w:pPr>
            <w:r>
              <w:rPr>
                <w:rFonts w:ascii="Times New Roman" w:cs="Times New Roman" w:eastAsia="Times New Roman" w:hAnsi="Times New Roman"/>
                <w:b w:val="false"/>
                <w:bCs w:val="false"/>
                <w:i w:val="false"/>
                <w:iCs w:val="false"/>
                <w:sz w:val="22"/>
                <w:szCs w:val="22"/>
              </w:rPr>
              <w:t xml:space="preserve">Divulgação</w:t>
            </w:r>
          </w:p>
        </w:tc>
        <w:tc>
          <w:p>
            <w:pPr>
              <w:spacing w:line="240"/>
              <w:jc w:val="left"/>
            </w:pPr>
            <w:r>
              <w:rPr>
                <w:rFonts w:ascii="Times New Roman" w:cs="Times New Roman" w:eastAsia="Times New Roman" w:hAnsi="Times New Roman"/>
                <w:b w:val="false"/>
                <w:bCs w:val="false"/>
                <w:i w:val="false"/>
                <w:iCs w:val="false"/>
                <w:sz w:val="22"/>
                <w:szCs w:val="22"/>
              </w:rPr>
              <w:t xml:space="preserve">Postagens efêmeras em grupos e redes sociais</w:t>
            </w:r>
          </w:p>
        </w:tc>
        <w:tc>
          <w:p>
            <w:pPr>
              <w:spacing w:line="240"/>
              <w:jc w:val="left"/>
            </w:pPr>
            <w:r>
              <w:rPr>
                <w:rFonts w:ascii="Times New Roman" w:cs="Times New Roman" w:eastAsia="Times New Roman" w:hAnsi="Times New Roman"/>
                <w:b w:val="false"/>
                <w:bCs w:val="false"/>
                <w:i w:val="false"/>
                <w:iCs w:val="false"/>
                <w:sz w:val="22"/>
                <w:szCs w:val="22"/>
              </w:rPr>
              <w:t xml:space="preserve">Catálogo permanente com páginas indexáveis por mecanismos de busca</w:t>
            </w:r>
          </w:p>
        </w:tc>
      </w:tr>
      <w:tr>
        <w:trPr>
          <w:tblHeader w:val="false"/>
        </w:trPr>
        <w:tc>
          <w:p>
            <w:pPr>
              <w:spacing w:line="240"/>
              <w:jc w:val="left"/>
            </w:pPr>
            <w:r>
              <w:rPr>
                <w:rFonts w:ascii="Times New Roman" w:cs="Times New Roman" w:eastAsia="Times New Roman" w:hAnsi="Times New Roman"/>
                <w:b w:val="false"/>
                <w:bCs w:val="false"/>
                <w:i w:val="false"/>
                <w:iCs w:val="false"/>
                <w:sz w:val="22"/>
                <w:szCs w:val="22"/>
              </w:rPr>
              <w:t xml:space="preserve">Pagamento</w:t>
            </w:r>
          </w:p>
        </w:tc>
        <w:tc>
          <w:p>
            <w:pPr>
              <w:spacing w:line="240"/>
              <w:jc w:val="left"/>
            </w:pPr>
            <w:r>
              <w:rPr>
                <w:rFonts w:ascii="Times New Roman" w:cs="Times New Roman" w:eastAsia="Times New Roman" w:hAnsi="Times New Roman"/>
                <w:b w:val="false"/>
                <w:bCs w:val="false"/>
                <w:i w:val="false"/>
                <w:iCs w:val="false"/>
                <w:sz w:val="22"/>
                <w:szCs w:val="22"/>
              </w:rPr>
              <w:t xml:space="preserve">Pix baseado em confiança, com conferência manual</w:t>
            </w:r>
          </w:p>
        </w:tc>
        <w:tc>
          <w:p>
            <w:pPr>
              <w:spacing w:line="240"/>
              <w:jc w:val="left"/>
            </w:pPr>
            <w:r>
              <w:rPr>
                <w:rFonts w:ascii="Times New Roman" w:cs="Times New Roman" w:eastAsia="Times New Roman" w:hAnsi="Times New Roman"/>
                <w:b w:val="false"/>
                <w:bCs w:val="false"/>
                <w:i w:val="false"/>
                <w:iCs w:val="false"/>
                <w:sz w:val="22"/>
                <w:szCs w:val="22"/>
              </w:rPr>
              <w:t xml:space="preserve">Pagamento integrado com confirmação automática e validação criptográfica</w:t>
            </w:r>
          </w:p>
        </w:tc>
      </w:tr>
      <w:tr>
        <w:trPr>
          <w:tblHeader w:val="false"/>
        </w:trPr>
        <w:tc>
          <w:p>
            <w:pPr>
              <w:spacing w:line="240"/>
              <w:jc w:val="left"/>
            </w:pPr>
            <w:r>
              <w:rPr>
                <w:rFonts w:ascii="Times New Roman" w:cs="Times New Roman" w:eastAsia="Times New Roman" w:hAnsi="Times New Roman"/>
                <w:b w:val="false"/>
                <w:bCs w:val="false"/>
                <w:i w:val="false"/>
                <w:iCs w:val="false"/>
                <w:sz w:val="22"/>
                <w:szCs w:val="22"/>
              </w:rPr>
              <w:t xml:space="preserve">Entrega</w:t>
            </w:r>
          </w:p>
        </w:tc>
        <w:tc>
          <w:p>
            <w:pPr>
              <w:spacing w:line="240"/>
              <w:jc w:val="left"/>
            </w:pPr>
            <w:r>
              <w:rPr>
                <w:rFonts w:ascii="Times New Roman" w:cs="Times New Roman" w:eastAsia="Times New Roman" w:hAnsi="Times New Roman"/>
                <w:b w:val="false"/>
                <w:bCs w:val="false"/>
                <w:i w:val="false"/>
                <w:iCs w:val="false"/>
                <w:sz w:val="22"/>
                <w:szCs w:val="22"/>
              </w:rPr>
              <w:t xml:space="preserve">Envio manual de arquivos ou pastas compartilhadas</w:t>
            </w:r>
          </w:p>
        </w:tc>
        <w:tc>
          <w:p>
            <w:pPr>
              <w:spacing w:line="240"/>
              <w:jc w:val="left"/>
            </w:pPr>
            <w:r>
              <w:rPr>
                <w:rFonts w:ascii="Times New Roman" w:cs="Times New Roman" w:eastAsia="Times New Roman" w:hAnsi="Times New Roman"/>
                <w:b w:val="false"/>
                <w:bCs w:val="false"/>
                <w:i w:val="false"/>
                <w:iCs w:val="false"/>
                <w:sz w:val="22"/>
                <w:szCs w:val="22"/>
              </w:rPr>
              <w:t xml:space="preserve">Download imediato controlado por token com prazo de validade</w:t>
            </w:r>
          </w:p>
        </w:tc>
      </w:tr>
      <w:tr>
        <w:trPr>
          <w:tblHeader w:val="false"/>
        </w:trPr>
        <w:tc>
          <w:p>
            <w:pPr>
              <w:spacing w:line="240"/>
              <w:jc w:val="left"/>
            </w:pPr>
            <w:r>
              <w:rPr>
                <w:rFonts w:ascii="Times New Roman" w:cs="Times New Roman" w:eastAsia="Times New Roman" w:hAnsi="Times New Roman"/>
                <w:b w:val="false"/>
                <w:bCs w:val="false"/>
                <w:i w:val="false"/>
                <w:iCs w:val="false"/>
                <w:sz w:val="22"/>
                <w:szCs w:val="22"/>
              </w:rPr>
              <w:t xml:space="preserve">Gestão</w:t>
            </w:r>
          </w:p>
        </w:tc>
        <w:tc>
          <w:p>
            <w:pPr>
              <w:spacing w:line="240"/>
              <w:jc w:val="left"/>
            </w:pPr>
            <w:r>
              <w:rPr>
                <w:rFonts w:ascii="Times New Roman" w:cs="Times New Roman" w:eastAsia="Times New Roman" w:hAnsi="Times New Roman"/>
                <w:b w:val="false"/>
                <w:bCs w:val="false"/>
                <w:i w:val="false"/>
                <w:iCs w:val="false"/>
                <w:sz w:val="22"/>
                <w:szCs w:val="22"/>
              </w:rPr>
              <w:t xml:space="preserve">Controle improvisado em planilhas e conversas</w:t>
            </w:r>
          </w:p>
        </w:tc>
        <w:tc>
          <w:p>
            <w:pPr>
              <w:spacing w:line="240"/>
              <w:jc w:val="left"/>
            </w:pPr>
            <w:r>
              <w:rPr>
                <w:rFonts w:ascii="Times New Roman" w:cs="Times New Roman" w:eastAsia="Times New Roman" w:hAnsi="Times New Roman"/>
                <w:b w:val="false"/>
                <w:bCs w:val="false"/>
                <w:i w:val="false"/>
                <w:iCs w:val="false"/>
                <w:sz w:val="22"/>
                <w:szCs w:val="22"/>
              </w:rPr>
              <w:t xml:space="preserve">Painel com pedidos, cupons, funil, curva ABC e segmentação</w:t>
            </w:r>
          </w:p>
        </w:tc>
      </w:tr>
      <w:tr>
        <w:trPr>
          <w:tblHeader w:val="false"/>
        </w:trPr>
        <w:tc>
          <w:p>
            <w:pPr>
              <w:spacing w:line="240"/>
              <w:jc w:val="left"/>
            </w:pPr>
            <w:r>
              <w:rPr>
                <w:rFonts w:ascii="Times New Roman" w:cs="Times New Roman" w:eastAsia="Times New Roman" w:hAnsi="Times New Roman"/>
                <w:b w:val="false"/>
                <w:bCs w:val="false"/>
                <w:i w:val="false"/>
                <w:iCs w:val="false"/>
                <w:sz w:val="22"/>
                <w:szCs w:val="22"/>
              </w:rPr>
              <w:t xml:space="preserve">Dados e garantias</w:t>
            </w:r>
          </w:p>
        </w:tc>
        <w:tc>
          <w:p>
            <w:pPr>
              <w:spacing w:line="240"/>
              <w:jc w:val="left"/>
            </w:pPr>
            <w:r>
              <w:rPr>
                <w:rFonts w:ascii="Times New Roman" w:cs="Times New Roman" w:eastAsia="Times New Roman" w:hAnsi="Times New Roman"/>
                <w:b w:val="false"/>
                <w:bCs w:val="false"/>
                <w:i w:val="false"/>
                <w:iCs w:val="false"/>
                <w:sz w:val="22"/>
                <w:szCs w:val="22"/>
              </w:rPr>
              <w:t xml:space="preserve">Sem consentimento, registro ou auditoria</w:t>
            </w:r>
          </w:p>
        </w:tc>
        <w:tc>
          <w:p>
            <w:pPr>
              <w:spacing w:line="240"/>
              <w:jc w:val="left"/>
            </w:pPr>
            <w:r>
              <w:rPr>
                <w:rFonts w:ascii="Times New Roman" w:cs="Times New Roman" w:eastAsia="Times New Roman" w:hAnsi="Times New Roman"/>
                <w:b w:val="false"/>
                <w:bCs w:val="false"/>
                <w:i w:val="false"/>
                <w:iCs w:val="false"/>
                <w:sz w:val="22"/>
                <w:szCs w:val="22"/>
              </w:rPr>
              <w:t xml:space="preserve">Segurança em nível de linha, log de auditoria e exclusão de conta</w:t>
            </w:r>
          </w:p>
        </w:tc>
      </w:tr>
    </w:tbl>
    <w:p>
      <w:pPr>
        <w:spacing w:after="360" w:before="120" w:line="240"/>
        <w:jc w:val="center"/>
      </w:pPr>
      <w:r>
        <w:rPr>
          <w:rFonts w:ascii="Times New Roman" w:cs="Times New Roman" w:eastAsia="Times New Roman" w:hAnsi="Times New Roman"/>
          <w:b w:val="false"/>
          <w:bCs w:val="false"/>
          <w:i w:val="false"/>
          <w:iCs w:val="false"/>
          <w:sz w:val="20"/>
          <w:szCs w:val="20"/>
        </w:rPr>
        <w:t xml:space="preserve">Fonte: elaborado pelo autor (2026).</w:t>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Tomados em conjunto, esses resultados permitem responder à pergunta de pesquisa. Uma plataforma web especializada facilita a divulgação e a monetização de materiais didáticos autorais na medida em que substitui cada elo frágil do circuito informal por um mecanismo verificável: o catálogo permanente responde à fragmentação da divulgação; o pagamento integrado elimina a transação baseada apenas na confiança; a entrega por token resolve a dependência do envio manual; e o painel administrativo converte o controle improvisado em gestão informada. O fenômeno dos professores que empreendem sobre a própria produção pedagógica, documentado por Shelton e Archambault (2019) em plataformas internacionais, encontra desse modo um correlato tecnicamente viável no contexto brasileiro, construído sobre serviços de infraestrutura acessíveis a projetos de pequeno porte.</w:t>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Os resultados devem, entretanto, ser lidos à luz das limitações do protótipo. A versão implementada opera como loja única de um professor autor, com painel administrativo próprio; a abertura para múltiplos vendedores, com cadastro de professores e divisão automática de pagamentos, característica dos negócios de plataforma descritos por Parker, Van Alstyne e Choudary (2020), permanece como trabalho futuro. Não foi conduzida avaliação formal com usuários reais em escala, de modo que as evidências de adequação se restringem à verificação funcional dos fluxos implementados, sem mensuração de usabilidade ou de impacto efetivo sobre a renda docente. A curadoria pedagógica, incluindo o alinhamento dos materiais à Base Nacional Comum Curricular, segue manual e dependente do próprio autor (BRASIL, 2018b). Há, ainda, dependência estrutural de serviços de terceiros — Supabase, Vercel, Mercado Pago e Resend —, cuja indisponibilidade ou mudança de política comercial afetaria diretamente a operação, risco inerente às arquiteturas </w:t>
      </w:r>
      <w:r>
        <w:rPr>
          <w:rFonts w:ascii="Times New Roman" w:cs="Times New Roman" w:eastAsia="Times New Roman" w:hAnsi="Times New Roman"/>
          <w:b w:val="false"/>
          <w:bCs w:val="false"/>
          <w:i/>
          <w:iCs/>
          <w:sz w:val="24"/>
          <w:szCs w:val="24"/>
        </w:rPr>
        <w:t xml:space="preserve">serverless</w:t>
      </w:r>
      <w:r>
        <w:rPr>
          <w:rFonts w:ascii="Times New Roman" w:cs="Times New Roman" w:eastAsia="Times New Roman" w:hAnsi="Times New Roman"/>
          <w:b w:val="false"/>
          <w:bCs w:val="false"/>
          <w:i w:val="false"/>
          <w:iCs w:val="false"/>
          <w:sz w:val="24"/>
          <w:szCs w:val="24"/>
        </w:rPr>
        <w:t xml:space="preserve"> que delegam infraestrutura a provedores externos.</w:t>
      </w:r>
    </w:p>
    <w:p>
      <w:pPr>
        <w:pStyle w:val="Heading1"/>
        <w:pageBreakBefore/>
        <w:spacing w:after="360" w:before="0" w:line="360"/>
        <w:jc w:val="left"/>
      </w:pPr>
      <w:r>
        <w:rPr>
          <w:rFonts w:ascii="Times New Roman" w:cs="Times New Roman" w:eastAsia="Times New Roman" w:hAnsi="Times New Roman"/>
          <w:b/>
          <w:bCs/>
          <w:i w:val="false"/>
          <w:iCs w:val="false"/>
          <w:sz w:val="24"/>
          <w:szCs w:val="24"/>
        </w:rPr>
        <w:t xml:space="preserve">6 CONSIDERAÇÕES FINAIS</w:t>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O presente trabalho partiu de um problema concreto da realidade educacional brasileira: a comercialização de materiais didáticos autorais por professores da educação básica ocorre, em grande medida, por canais informais e dispersos, o que subvaloriza a produção docente, fragiliza a proteção dos direitos autorais e dificulta que outros educadores encontrem esses conteúdos. Diante desse quadro, o objetivo geral consistiu em desenvolver uma plataforma web de </w:t>
      </w:r>
      <w:r>
        <w:rPr>
          <w:rFonts w:ascii="Times New Roman" w:cs="Times New Roman" w:eastAsia="Times New Roman" w:hAnsi="Times New Roman"/>
          <w:b w:val="false"/>
          <w:bCs w:val="false"/>
          <w:i/>
          <w:iCs/>
          <w:sz w:val="24"/>
          <w:szCs w:val="24"/>
        </w:rPr>
        <w:t xml:space="preserve">e-commerce</w:t>
      </w:r>
      <w:r>
        <w:rPr>
          <w:rFonts w:ascii="Times New Roman" w:cs="Times New Roman" w:eastAsia="Times New Roman" w:hAnsi="Times New Roman"/>
          <w:b w:val="false"/>
          <w:bCs w:val="false"/>
          <w:i w:val="false"/>
          <w:iCs w:val="false"/>
          <w:sz w:val="24"/>
          <w:szCs w:val="24"/>
        </w:rPr>
        <w:t xml:space="preserve"> especializada na divulgação e comercialização de materiais didáticos autorais. Esse objetivo foi atendido com a entrega do Ateliê Escolar em versão funcional, capaz de conduzir o ciclo completo de venda de produtos digitais, do catálogo à liberação do </w:t>
      </w:r>
      <w:r>
        <w:rPr>
          <w:rFonts w:ascii="Times New Roman" w:cs="Times New Roman" w:eastAsia="Times New Roman" w:hAnsi="Times New Roman"/>
          <w:b w:val="false"/>
          <w:bCs w:val="false"/>
          <w:i/>
          <w:iCs/>
          <w:sz w:val="24"/>
          <w:szCs w:val="24"/>
        </w:rPr>
        <w:t xml:space="preserve">download</w:t>
      </w:r>
      <w:r>
        <w:rPr>
          <w:rFonts w:ascii="Times New Roman" w:cs="Times New Roman" w:eastAsia="Times New Roman" w:hAnsi="Times New Roman"/>
          <w:b w:val="false"/>
          <w:bCs w:val="false"/>
          <w:i w:val="false"/>
          <w:iCs w:val="false"/>
          <w:sz w:val="24"/>
          <w:szCs w:val="24"/>
        </w:rPr>
        <w:t xml:space="preserve"> mediante </w:t>
      </w:r>
      <w:r>
        <w:rPr>
          <w:rFonts w:ascii="Times New Roman" w:cs="Times New Roman" w:eastAsia="Times New Roman" w:hAnsi="Times New Roman"/>
          <w:b w:val="false"/>
          <w:bCs w:val="false"/>
          <w:i/>
          <w:iCs/>
          <w:sz w:val="24"/>
          <w:szCs w:val="24"/>
        </w:rPr>
        <w:t xml:space="preserve">token</w:t>
      </w:r>
      <w:r>
        <w:rPr>
          <w:rFonts w:ascii="Times New Roman" w:cs="Times New Roman" w:eastAsia="Times New Roman" w:hAnsi="Times New Roman"/>
          <w:b w:val="false"/>
          <w:bCs w:val="false"/>
          <w:i w:val="false"/>
          <w:iCs w:val="false"/>
          <w:sz w:val="24"/>
          <w:szCs w:val="24"/>
        </w:rPr>
        <w:t xml:space="preserve">, após a confirmação do pagamento.</w:t>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Os objetivos específicos foram contemplados ao longo dos capítulos. A análise da informalidade que caracteriza a venda desses materiais fundamentou a delimitação do escopo, e o levantamento de requisitos funcionais e não funcionais orientou as decisões de construção. A modelagem da arquitetura e do banco de dados resultou em um esquema relacional com dezessete tabelas protegidas por </w:t>
      </w:r>
      <w:r>
        <w:rPr>
          <w:rFonts w:ascii="Times New Roman" w:cs="Times New Roman" w:eastAsia="Times New Roman" w:hAnsi="Times New Roman"/>
          <w:b w:val="false"/>
          <w:bCs w:val="false"/>
          <w:i/>
          <w:iCs/>
          <w:sz w:val="24"/>
          <w:szCs w:val="24"/>
        </w:rPr>
        <w:t xml:space="preserve">Row Level Security</w:t>
      </w:r>
      <w:r>
        <w:rPr>
          <w:rFonts w:ascii="Times New Roman" w:cs="Times New Roman" w:eastAsia="Times New Roman" w:hAnsi="Times New Roman"/>
          <w:b w:val="false"/>
          <w:bCs w:val="false"/>
          <w:i w:val="false"/>
          <w:iCs w:val="false"/>
          <w:sz w:val="24"/>
          <w:szCs w:val="24"/>
        </w:rPr>
        <w:t xml:space="preserve">. Já a implementação concretizou catálogo, carrinho, </w:t>
      </w:r>
      <w:r>
        <w:rPr>
          <w:rFonts w:ascii="Times New Roman" w:cs="Times New Roman" w:eastAsia="Times New Roman" w:hAnsi="Times New Roman"/>
          <w:b w:val="false"/>
          <w:bCs w:val="false"/>
          <w:i/>
          <w:iCs/>
          <w:sz w:val="24"/>
          <w:szCs w:val="24"/>
        </w:rPr>
        <w:t xml:space="preserve">checkout</w:t>
      </w:r>
      <w:r>
        <w:rPr>
          <w:rFonts w:ascii="Times New Roman" w:cs="Times New Roman" w:eastAsia="Times New Roman" w:hAnsi="Times New Roman"/>
          <w:b w:val="false"/>
          <w:bCs w:val="false"/>
          <w:i w:val="false"/>
          <w:iCs w:val="false"/>
          <w:sz w:val="24"/>
          <w:szCs w:val="24"/>
        </w:rPr>
        <w:t xml:space="preserve"> com pagamento integrado ao Mercado Pago, gestão de pedidos e cupons, painel administrativo com segunda etapa de autenticação, módulo de métricas de negócio e trilha de auditoria das ações administrativas. A discussão das tecnologias adotadas, com React no </w:t>
      </w:r>
      <w:r>
        <w:rPr>
          <w:rFonts w:ascii="Times New Roman" w:cs="Times New Roman" w:eastAsia="Times New Roman" w:hAnsi="Times New Roman"/>
          <w:b w:val="false"/>
          <w:bCs w:val="false"/>
          <w:i/>
          <w:iCs/>
          <w:sz w:val="24"/>
          <w:szCs w:val="24"/>
        </w:rPr>
        <w:t xml:space="preserve">front-end</w:t>
      </w:r>
      <w:r>
        <w:rPr>
          <w:rFonts w:ascii="Times New Roman" w:cs="Times New Roman" w:eastAsia="Times New Roman" w:hAnsi="Times New Roman"/>
          <w:b w:val="false"/>
          <w:bCs w:val="false"/>
          <w:i w:val="false"/>
          <w:iCs w:val="false"/>
          <w:sz w:val="24"/>
          <w:szCs w:val="24"/>
        </w:rPr>
        <w:t xml:space="preserve">, funções </w:t>
      </w:r>
      <w:r>
        <w:rPr>
          <w:rFonts w:ascii="Times New Roman" w:cs="Times New Roman" w:eastAsia="Times New Roman" w:hAnsi="Times New Roman"/>
          <w:b w:val="false"/>
          <w:bCs w:val="false"/>
          <w:i/>
          <w:iCs/>
          <w:sz w:val="24"/>
          <w:szCs w:val="24"/>
        </w:rPr>
        <w:t xml:space="preserve">serverless</w:t>
      </w:r>
      <w:r>
        <w:rPr>
          <w:rFonts w:ascii="Times New Roman" w:cs="Times New Roman" w:eastAsia="Times New Roman" w:hAnsi="Times New Roman"/>
          <w:b w:val="false"/>
          <w:bCs w:val="false"/>
          <w:i w:val="false"/>
          <w:iCs w:val="false"/>
          <w:sz w:val="24"/>
          <w:szCs w:val="24"/>
        </w:rPr>
        <w:t xml:space="preserve"> em Node.js no </w:t>
      </w:r>
      <w:r>
        <w:rPr>
          <w:rFonts w:ascii="Times New Roman" w:cs="Times New Roman" w:eastAsia="Times New Roman" w:hAnsi="Times New Roman"/>
          <w:b w:val="false"/>
          <w:bCs w:val="false"/>
          <w:i/>
          <w:iCs/>
          <w:sz w:val="24"/>
          <w:szCs w:val="24"/>
        </w:rPr>
        <w:t xml:space="preserve">back-end</w:t>
      </w:r>
      <w:r>
        <w:rPr>
          <w:rFonts w:ascii="Times New Roman" w:cs="Times New Roman" w:eastAsia="Times New Roman" w:hAnsi="Times New Roman"/>
          <w:b w:val="false"/>
          <w:bCs w:val="false"/>
          <w:i w:val="false"/>
          <w:iCs w:val="false"/>
          <w:sz w:val="24"/>
          <w:szCs w:val="24"/>
        </w:rPr>
        <w:t xml:space="preserve"> e Supabase como camada de dados e autenticação, explicitou as razões de cada escolha, enquanto o capítulo de resultados apresentou o sistema em operação e examinou suas restrições.</w:t>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As contribuições do estudo distribuem-se em três planos. No tecnológico, entregou-se uma plataforma operacional que incorpora segurança desde a concepção: os preços e cupons são validados no servidor, a assinatura do </w:t>
      </w:r>
      <w:r>
        <w:rPr>
          <w:rFonts w:ascii="Times New Roman" w:cs="Times New Roman" w:eastAsia="Times New Roman" w:hAnsi="Times New Roman"/>
          <w:b w:val="false"/>
          <w:bCs w:val="false"/>
          <w:i/>
          <w:iCs/>
          <w:sz w:val="24"/>
          <w:szCs w:val="24"/>
        </w:rPr>
        <w:t xml:space="preserve">webhook</w:t>
      </w:r>
      <w:r>
        <w:rPr>
          <w:rFonts w:ascii="Times New Roman" w:cs="Times New Roman" w:eastAsia="Times New Roman" w:hAnsi="Times New Roman"/>
          <w:b w:val="false"/>
          <w:bCs w:val="false"/>
          <w:i w:val="false"/>
          <w:iCs w:val="false"/>
          <w:sz w:val="24"/>
          <w:szCs w:val="24"/>
        </w:rPr>
        <w:t xml:space="preserve"> de pagamento é verificada, os eventos sensíveis ficam registrados e o atendimento à Lei Geral de Proteção de Dados se materializa em consentimento para rastreamento, minimização de dados pessoais e exclusão de conta em autosserviço. Sob a ótica social, o trabalho indica um caminho de profissionalização da renda complementar docente, ao substituir transações informais por um fluxo de compra com comprovação, entrega controlada e histórico verificável. No âmbito acadêmico, a documentação do percurso, dos requisitos às decisões de arquitetura, pode servir de referência a outros projetos de conclusão de curso na área de desenvolvimento de sistemas.</w:t>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Cumpre reconhecer, contudo, as limitações já discutidas. A versão implementada opera como loja única de um professor autor, e não como espaço aberto ao cadastro de múltiplos vendedores, o que circunscreve o alcance imediato da resposta ao problema da fragmentação. Os resultados decorrem, ainda, da operação inicial da plataforma; conclusões sobre adoção em maior escala exigiriam período mais longo de observação e uma base ampliada de usuários. Tais restrições não invalidam o que foi construído; antes, delimitam com honestidade o estágio atual do projeto.</w:t>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Desses limites derivam os trabalhos futuros. A evolução natural da plataforma é a transformação em </w:t>
      </w:r>
      <w:r>
        <w:rPr>
          <w:rFonts w:ascii="Times New Roman" w:cs="Times New Roman" w:eastAsia="Times New Roman" w:hAnsi="Times New Roman"/>
          <w:b w:val="false"/>
          <w:bCs w:val="false"/>
          <w:i/>
          <w:iCs/>
          <w:sz w:val="24"/>
          <w:szCs w:val="24"/>
        </w:rPr>
        <w:t xml:space="preserve">marketplace</w:t>
      </w:r>
      <w:r>
        <w:rPr>
          <w:rFonts w:ascii="Times New Roman" w:cs="Times New Roman" w:eastAsia="Times New Roman" w:hAnsi="Times New Roman"/>
          <w:b w:val="false"/>
          <w:bCs w:val="false"/>
          <w:i w:val="false"/>
          <w:iCs w:val="false"/>
          <w:sz w:val="24"/>
          <w:szCs w:val="24"/>
        </w:rPr>
        <w:t xml:space="preserve"> multivendedor, com cadastro aberto de professores e repasse automático de valores por divisão de pagamentos, etapa que exigirá revisão do modelo de dados e das regras de permissão. Há, ainda, a intenção de desenvolver aplicativo móvel, de implantar um sistema de avaliações com curadoria comunitária alinhada à Base Nacional Comum Curricular e, em horizonte mais distante, de incorporar mecanismos de recomendação de conteúdo apoiados em inteligência artificial.</w:t>
      </w:r>
    </w:p>
    <w:p>
      <w:pPr>
        <w:spacing w:after="0" w:before="0" w:line="360"/>
        <w:ind w:firstLine="709"/>
        <w:jc w:val="both"/>
      </w:pPr>
      <w:r>
        <w:rPr>
          <w:rFonts w:ascii="Times New Roman" w:cs="Times New Roman" w:eastAsia="Times New Roman" w:hAnsi="Times New Roman"/>
          <w:b w:val="false"/>
          <w:bCs w:val="false"/>
          <w:i w:val="false"/>
          <w:iCs w:val="false"/>
          <w:sz w:val="24"/>
          <w:szCs w:val="24"/>
        </w:rPr>
        <w:t xml:space="preserve">Espera-se, por fim, que o Ateliê Escolar contribua, em sua medida, para que o conhecimento produzido por professores da educação básica circule em condições mais justas. A tecnologia não resolve, por si, a desvalorização do trabalho docente; pode, entretanto, oferecer a esse trabalho instrumentos de visibilidade, formalização e remuneração que hoje lhe faltam, e foi com essa intenção que a plataforma foi concebida e construída.</w:t>
      </w:r>
    </w:p>
    <w:p>
      <w:pPr>
        <w:pStyle w:val="Heading1"/>
        <w:pageBreakBefore/>
        <w:spacing w:after="360" w:line="360"/>
        <w:jc w:val="center"/>
      </w:pPr>
      <w:r>
        <w:rPr>
          <w:rFonts w:ascii="Times New Roman" w:cs="Times New Roman" w:eastAsia="Times New Roman" w:hAnsi="Times New Roman"/>
          <w:b/>
          <w:bCs/>
          <w:i w:val="false"/>
          <w:iCs w:val="false"/>
          <w:sz w:val="24"/>
          <w:szCs w:val="24"/>
        </w:rPr>
        <w:t xml:space="preserve">REFERÊNCIAS</w:t>
      </w:r>
    </w:p>
    <w:p>
      <w:pPr>
        <w:spacing w:after="240" w:line="240"/>
        <w:jc w:val="left"/>
      </w:pPr>
      <w:r>
        <w:rPr>
          <w:rFonts w:ascii="Times New Roman" w:cs="Times New Roman" w:eastAsia="Times New Roman" w:hAnsi="Times New Roman"/>
          <w:b w:val="false"/>
          <w:bCs w:val="false"/>
          <w:i w:val="false"/>
          <w:iCs w:val="false"/>
          <w:sz w:val="24"/>
          <w:szCs w:val="24"/>
        </w:rPr>
        <w:t xml:space="preserve">ALBERTIN, Alberto Luiz. </w:t>
      </w:r>
      <w:r>
        <w:rPr>
          <w:rFonts w:ascii="Times New Roman" w:cs="Times New Roman" w:eastAsia="Times New Roman" w:hAnsi="Times New Roman"/>
          <w:b/>
          <w:bCs/>
          <w:i w:val="false"/>
          <w:iCs w:val="false"/>
          <w:sz w:val="24"/>
          <w:szCs w:val="24"/>
        </w:rPr>
        <w:t xml:space="preserve">Comércio eletrônico</w:t>
      </w:r>
      <w:r>
        <w:rPr>
          <w:rFonts w:ascii="Times New Roman" w:cs="Times New Roman" w:eastAsia="Times New Roman" w:hAnsi="Times New Roman"/>
          <w:b w:val="false"/>
          <w:bCs w:val="false"/>
          <w:i w:val="false"/>
          <w:iCs w:val="false"/>
          <w:sz w:val="24"/>
          <w:szCs w:val="24"/>
        </w:rPr>
        <w:t xml:space="preserve">: modelo, aspectos e contribuições de sua aplicação. 6. ed. São Paulo: Atlas, 2010.</w:t>
      </w:r>
    </w:p>
    <w:p>
      <w:pPr>
        <w:spacing w:after="240" w:line="240"/>
        <w:jc w:val="left"/>
      </w:pPr>
      <w:r>
        <w:rPr>
          <w:rFonts w:ascii="Times New Roman" w:cs="Times New Roman" w:eastAsia="Times New Roman" w:hAnsi="Times New Roman"/>
          <w:b w:val="false"/>
          <w:bCs w:val="false"/>
          <w:i w:val="false"/>
          <w:iCs w:val="false"/>
          <w:sz w:val="24"/>
          <w:szCs w:val="24"/>
        </w:rPr>
        <w:t xml:space="preserve">ANDERSON, Chris. </w:t>
      </w:r>
      <w:r>
        <w:rPr>
          <w:rFonts w:ascii="Times New Roman" w:cs="Times New Roman" w:eastAsia="Times New Roman" w:hAnsi="Times New Roman"/>
          <w:b/>
          <w:bCs/>
          <w:i w:val="false"/>
          <w:iCs w:val="false"/>
          <w:sz w:val="24"/>
          <w:szCs w:val="24"/>
        </w:rPr>
        <w:t xml:space="preserve">A cauda longa</w:t>
      </w:r>
      <w:r>
        <w:rPr>
          <w:rFonts w:ascii="Times New Roman" w:cs="Times New Roman" w:eastAsia="Times New Roman" w:hAnsi="Times New Roman"/>
          <w:b w:val="false"/>
          <w:bCs w:val="false"/>
          <w:i w:val="false"/>
          <w:iCs w:val="false"/>
          <w:sz w:val="24"/>
          <w:szCs w:val="24"/>
        </w:rPr>
        <w:t xml:space="preserve">: do mercado de massa para o mercado de nicho. Tradução de Afonso Celso da Cunha Serra. Rio de Janeiro: Elsevier, 2006.</w:t>
      </w:r>
    </w:p>
    <w:p>
      <w:pPr>
        <w:spacing w:after="240" w:line="240"/>
        <w:jc w:val="left"/>
      </w:pPr>
      <w:r>
        <w:rPr>
          <w:rFonts w:ascii="Times New Roman" w:cs="Times New Roman" w:eastAsia="Times New Roman" w:hAnsi="Times New Roman"/>
          <w:b w:val="false"/>
          <w:bCs w:val="false"/>
          <w:i w:val="false"/>
          <w:iCs w:val="false"/>
          <w:sz w:val="24"/>
          <w:szCs w:val="24"/>
        </w:rPr>
        <w:t xml:space="preserve">BITTAR, Carlos Alberto. </w:t>
      </w:r>
      <w:r>
        <w:rPr>
          <w:rFonts w:ascii="Times New Roman" w:cs="Times New Roman" w:eastAsia="Times New Roman" w:hAnsi="Times New Roman"/>
          <w:b/>
          <w:bCs/>
          <w:i w:val="false"/>
          <w:iCs w:val="false"/>
          <w:sz w:val="24"/>
          <w:szCs w:val="24"/>
        </w:rPr>
        <w:t xml:space="preserve">Direito de autor</w:t>
      </w:r>
      <w:r>
        <w:rPr>
          <w:rFonts w:ascii="Times New Roman" w:cs="Times New Roman" w:eastAsia="Times New Roman" w:hAnsi="Times New Roman"/>
          <w:b w:val="false"/>
          <w:bCs w:val="false"/>
          <w:i w:val="false"/>
          <w:iCs w:val="false"/>
          <w:sz w:val="24"/>
          <w:szCs w:val="24"/>
        </w:rPr>
        <w:t xml:space="preserve">. 8. ed. rev., atual. e ampl. por Eduardo C. B. Bittar. Rio de Janeiro: Forense, 2022.</w:t>
      </w:r>
    </w:p>
    <w:p>
      <w:pPr>
        <w:spacing w:after="240" w:line="240"/>
        <w:jc w:val="left"/>
      </w:pPr>
      <w:r>
        <w:rPr>
          <w:rFonts w:ascii="Times New Roman" w:cs="Times New Roman" w:eastAsia="Times New Roman" w:hAnsi="Times New Roman"/>
          <w:b w:val="false"/>
          <w:bCs w:val="false"/>
          <w:i w:val="false"/>
          <w:iCs w:val="false"/>
          <w:sz w:val="24"/>
          <w:szCs w:val="24"/>
        </w:rPr>
        <w:t xml:space="preserve">BRASIL. </w:t>
      </w:r>
      <w:r>
        <w:rPr>
          <w:rFonts w:ascii="Times New Roman" w:cs="Times New Roman" w:eastAsia="Times New Roman" w:hAnsi="Times New Roman"/>
          <w:b/>
          <w:bCs/>
          <w:i w:val="false"/>
          <w:iCs w:val="false"/>
          <w:sz w:val="24"/>
          <w:szCs w:val="24"/>
        </w:rPr>
        <w:t xml:space="preserve">Lei nº 9.610, de 19 de fevereiro de 1998</w:t>
      </w:r>
      <w:r>
        <w:rPr>
          <w:rFonts w:ascii="Times New Roman" w:cs="Times New Roman" w:eastAsia="Times New Roman" w:hAnsi="Times New Roman"/>
          <w:b w:val="false"/>
          <w:bCs w:val="false"/>
          <w:i w:val="false"/>
          <w:iCs w:val="false"/>
          <w:sz w:val="24"/>
          <w:szCs w:val="24"/>
        </w:rPr>
        <w:t xml:space="preserve">. Altera, atualiza e consolida a legislação sobre direitos autorais e dá outras providências. Brasília, DF: Presidência da República, 1998. Disponível em: https://www.planalto.gov.br/ccivil_03/leis/l9610.htm. Acesso em: 12 jun. 2026.</w:t>
      </w:r>
    </w:p>
    <w:p>
      <w:pPr>
        <w:spacing w:after="240" w:line="240"/>
        <w:jc w:val="left"/>
      </w:pPr>
      <w:r>
        <w:rPr>
          <w:rFonts w:ascii="Times New Roman" w:cs="Times New Roman" w:eastAsia="Times New Roman" w:hAnsi="Times New Roman"/>
          <w:b w:val="false"/>
          <w:bCs w:val="false"/>
          <w:i w:val="false"/>
          <w:iCs w:val="false"/>
          <w:sz w:val="24"/>
          <w:szCs w:val="24"/>
        </w:rPr>
        <w:t xml:space="preserve">BRASIL. </w:t>
      </w:r>
      <w:r>
        <w:rPr>
          <w:rFonts w:ascii="Times New Roman" w:cs="Times New Roman" w:eastAsia="Times New Roman" w:hAnsi="Times New Roman"/>
          <w:b/>
          <w:bCs/>
          <w:i w:val="false"/>
          <w:iCs w:val="false"/>
          <w:sz w:val="24"/>
          <w:szCs w:val="24"/>
        </w:rPr>
        <w:t xml:space="preserve">Lei nº 13.709, de 14 de agosto de 2018</w:t>
      </w:r>
      <w:r>
        <w:rPr>
          <w:rFonts w:ascii="Times New Roman" w:cs="Times New Roman" w:eastAsia="Times New Roman" w:hAnsi="Times New Roman"/>
          <w:b w:val="false"/>
          <w:bCs w:val="false"/>
          <w:i w:val="false"/>
          <w:iCs w:val="false"/>
          <w:sz w:val="24"/>
          <w:szCs w:val="24"/>
        </w:rPr>
        <w:t xml:space="preserve">. Lei Geral de Proteção de Dados Pessoais (LGPD). Brasília, DF: Presidência da República, 2018a. Disponível em: https://www.planalto.gov.br/ccivil_03/_ato2015-2018/2018/lei/l13709.htm. Acesso em: 12 jun. 2026.</w:t>
      </w:r>
    </w:p>
    <w:p>
      <w:pPr>
        <w:spacing w:after="240" w:line="240"/>
        <w:jc w:val="left"/>
      </w:pPr>
      <w:r>
        <w:rPr>
          <w:rFonts w:ascii="Times New Roman" w:cs="Times New Roman" w:eastAsia="Times New Roman" w:hAnsi="Times New Roman"/>
          <w:b w:val="false"/>
          <w:bCs w:val="false"/>
          <w:i w:val="false"/>
          <w:iCs w:val="false"/>
          <w:sz w:val="24"/>
          <w:szCs w:val="24"/>
        </w:rPr>
        <w:t xml:space="preserve">BRASIL. Ministério da Educação. </w:t>
      </w:r>
      <w:r>
        <w:rPr>
          <w:rFonts w:ascii="Times New Roman" w:cs="Times New Roman" w:eastAsia="Times New Roman" w:hAnsi="Times New Roman"/>
          <w:b/>
          <w:bCs/>
          <w:i w:val="false"/>
          <w:iCs w:val="false"/>
          <w:sz w:val="24"/>
          <w:szCs w:val="24"/>
        </w:rPr>
        <w:t xml:space="preserve">Base Nacional Comum Curricular</w:t>
      </w:r>
      <w:r>
        <w:rPr>
          <w:rFonts w:ascii="Times New Roman" w:cs="Times New Roman" w:eastAsia="Times New Roman" w:hAnsi="Times New Roman"/>
          <w:b w:val="false"/>
          <w:bCs w:val="false"/>
          <w:i w:val="false"/>
          <w:iCs w:val="false"/>
          <w:sz w:val="24"/>
          <w:szCs w:val="24"/>
        </w:rPr>
        <w:t xml:space="preserve">. Brasília, DF: MEC, 2018b. Disponível em: https://basenacionalcomum.mec.gov.br/. Acesso em: 12 jun. 2026.</w:t>
      </w:r>
    </w:p>
    <w:p>
      <w:pPr>
        <w:spacing w:after="240" w:line="240"/>
        <w:jc w:val="left"/>
      </w:pPr>
      <w:r>
        <w:rPr>
          <w:rFonts w:ascii="Times New Roman" w:cs="Times New Roman" w:eastAsia="Times New Roman" w:hAnsi="Times New Roman"/>
          <w:b w:val="false"/>
          <w:bCs w:val="false"/>
          <w:i w:val="false"/>
          <w:iCs w:val="false"/>
          <w:sz w:val="24"/>
          <w:szCs w:val="24"/>
        </w:rPr>
        <w:t xml:space="preserve">CENTRO DE INOVAÇÃO PARA A EDUCAÇÃO BRASILEIRA (CIEB); ASSOCIAÇÃO BRASILEIRA DE STARTUPS (ABSTARTUPS). </w:t>
      </w:r>
      <w:r>
        <w:rPr>
          <w:rFonts w:ascii="Times New Roman" w:cs="Times New Roman" w:eastAsia="Times New Roman" w:hAnsi="Times New Roman"/>
          <w:b/>
          <w:bCs/>
          <w:i w:val="false"/>
          <w:iCs w:val="false"/>
          <w:sz w:val="24"/>
          <w:szCs w:val="24"/>
        </w:rPr>
        <w:t xml:space="preserve">Mapeamento Edtech 2020</w:t>
      </w:r>
      <w:r>
        <w:rPr>
          <w:rFonts w:ascii="Times New Roman" w:cs="Times New Roman" w:eastAsia="Times New Roman" w:hAnsi="Times New Roman"/>
          <w:b w:val="false"/>
          <w:bCs w:val="false"/>
          <w:i w:val="false"/>
          <w:iCs w:val="false"/>
          <w:sz w:val="24"/>
          <w:szCs w:val="24"/>
        </w:rPr>
        <w:t xml:space="preserve">: investigação sobre as tecnologias educacionais brasileiras. 3. ed. São Paulo: CIEB; Abstartups, 2021. Disponível em: https://cieb.net.br/wp-content/uploads/2021/04/Mapeamento-Edtech-2020_web.pdf. Acesso em: 12 jun. 2026.</w:t>
      </w:r>
    </w:p>
    <w:p>
      <w:pPr>
        <w:spacing w:after="240" w:line="240"/>
        <w:jc w:val="left"/>
      </w:pPr>
      <w:r>
        <w:rPr>
          <w:rFonts w:ascii="Times New Roman" w:cs="Times New Roman" w:eastAsia="Times New Roman" w:hAnsi="Times New Roman"/>
          <w:b w:val="false"/>
          <w:bCs w:val="false"/>
          <w:i w:val="false"/>
          <w:iCs w:val="false"/>
          <w:sz w:val="24"/>
          <w:szCs w:val="24"/>
        </w:rPr>
        <w:t xml:space="preserve">COMITÊ GESTOR DA INTERNET NO BRASIL (CGI.br). </w:t>
      </w:r>
      <w:r>
        <w:rPr>
          <w:rFonts w:ascii="Times New Roman" w:cs="Times New Roman" w:eastAsia="Times New Roman" w:hAnsi="Times New Roman"/>
          <w:b/>
          <w:bCs/>
          <w:i w:val="false"/>
          <w:iCs w:val="false"/>
          <w:sz w:val="24"/>
          <w:szCs w:val="24"/>
        </w:rPr>
        <w:t xml:space="preserve">Pesquisa sobre o uso das tecnologias de informação e comunicação nas escolas brasileiras</w:t>
      </w:r>
      <w:r>
        <w:rPr>
          <w:rFonts w:ascii="Times New Roman" w:cs="Times New Roman" w:eastAsia="Times New Roman" w:hAnsi="Times New Roman"/>
          <w:b w:val="false"/>
          <w:bCs w:val="false"/>
          <w:i w:val="false"/>
          <w:iCs w:val="false"/>
          <w:sz w:val="24"/>
          <w:szCs w:val="24"/>
        </w:rPr>
        <w:t xml:space="preserve">: TIC Educação 2023. São Paulo: CGI.br, 2024. Disponível em: https://cetic.br/pt/publicacao/pesquisa-sobre-o-uso-das-tecnologias-de-informacao-e-comunicacao-nas-escolas-brasileiras-tic-educacao-2023/. Acesso em: 12 jun. 2026.</w:t>
      </w:r>
    </w:p>
    <w:p>
      <w:pPr>
        <w:spacing w:after="240" w:line="240"/>
        <w:jc w:val="left"/>
      </w:pPr>
      <w:r>
        <w:rPr>
          <w:rFonts w:ascii="Times New Roman" w:cs="Times New Roman" w:eastAsia="Times New Roman" w:hAnsi="Times New Roman"/>
          <w:b w:val="false"/>
          <w:bCs w:val="false"/>
          <w:i w:val="false"/>
          <w:iCs w:val="false"/>
          <w:sz w:val="24"/>
          <w:szCs w:val="24"/>
        </w:rPr>
        <w:t xml:space="preserve">FLORIDA, Richard. </w:t>
      </w:r>
      <w:r>
        <w:rPr>
          <w:rFonts w:ascii="Times New Roman" w:cs="Times New Roman" w:eastAsia="Times New Roman" w:hAnsi="Times New Roman"/>
          <w:b/>
          <w:bCs/>
          <w:i w:val="false"/>
          <w:iCs w:val="false"/>
          <w:sz w:val="24"/>
          <w:szCs w:val="24"/>
        </w:rPr>
        <w:t xml:space="preserve">A ascensão da classe criativa</w:t>
      </w:r>
      <w:r>
        <w:rPr>
          <w:rFonts w:ascii="Times New Roman" w:cs="Times New Roman" w:eastAsia="Times New Roman" w:hAnsi="Times New Roman"/>
          <w:b w:val="false"/>
          <w:bCs w:val="false"/>
          <w:i w:val="false"/>
          <w:iCs w:val="false"/>
          <w:sz w:val="24"/>
          <w:szCs w:val="24"/>
        </w:rPr>
        <w:t xml:space="preserve">: e seu papel na transformação do trabalho, do lazer, da comunidade e do cotidiano. Tradução de Ana Luiza Lopes. Porto Alegre: L&amp;PM, 2011.</w:t>
      </w:r>
    </w:p>
    <w:p>
      <w:pPr>
        <w:spacing w:after="240" w:line="240"/>
        <w:jc w:val="left"/>
      </w:pPr>
      <w:r>
        <w:rPr>
          <w:rFonts w:ascii="Times New Roman" w:cs="Times New Roman" w:eastAsia="Times New Roman" w:hAnsi="Times New Roman"/>
          <w:b w:val="false"/>
          <w:bCs w:val="false"/>
          <w:i w:val="false"/>
          <w:iCs w:val="false"/>
          <w:sz w:val="24"/>
          <w:szCs w:val="24"/>
        </w:rPr>
        <w:t xml:space="preserve">GATTI, Bernardete A. Formação de professores no Brasil: características e problemas. </w:t>
      </w:r>
      <w:r>
        <w:rPr>
          <w:rFonts w:ascii="Times New Roman" w:cs="Times New Roman" w:eastAsia="Times New Roman" w:hAnsi="Times New Roman"/>
          <w:b/>
          <w:bCs/>
          <w:i w:val="false"/>
          <w:iCs w:val="false"/>
          <w:sz w:val="24"/>
          <w:szCs w:val="24"/>
        </w:rPr>
        <w:t xml:space="preserve">Educação &amp; Sociedade</w:t>
      </w:r>
      <w:r>
        <w:rPr>
          <w:rFonts w:ascii="Times New Roman" w:cs="Times New Roman" w:eastAsia="Times New Roman" w:hAnsi="Times New Roman"/>
          <w:b w:val="false"/>
          <w:bCs w:val="false"/>
          <w:i w:val="false"/>
          <w:iCs w:val="false"/>
          <w:sz w:val="24"/>
          <w:szCs w:val="24"/>
        </w:rPr>
        <w:t xml:space="preserve">, Campinas, v. 31, n. 113, p. 1355-1379, out./dez. 2010. DOI: 10.1590/S0101-73302010000400016. Disponível em: https://www.scielo.br/j/es/a/R5VNX8SpKjNmKPxxp4QMt9M/. Acesso em: 12 jun. 2026.</w:t>
      </w:r>
    </w:p>
    <w:p>
      <w:pPr>
        <w:spacing w:after="240" w:line="240"/>
        <w:jc w:val="left"/>
      </w:pPr>
      <w:r>
        <w:rPr>
          <w:rFonts w:ascii="Times New Roman" w:cs="Times New Roman" w:eastAsia="Times New Roman" w:hAnsi="Times New Roman"/>
          <w:b w:val="false"/>
          <w:bCs w:val="false"/>
          <w:i w:val="false"/>
          <w:iCs w:val="false"/>
          <w:sz w:val="24"/>
          <w:szCs w:val="24"/>
        </w:rPr>
        <w:t xml:space="preserve">GIL, Antonio Carlos. </w:t>
      </w:r>
      <w:r>
        <w:rPr>
          <w:rFonts w:ascii="Times New Roman" w:cs="Times New Roman" w:eastAsia="Times New Roman" w:hAnsi="Times New Roman"/>
          <w:b/>
          <w:bCs/>
          <w:i w:val="false"/>
          <w:iCs w:val="false"/>
          <w:sz w:val="24"/>
          <w:szCs w:val="24"/>
        </w:rPr>
        <w:t xml:space="preserve">Como elaborar projetos de pesquisa</w:t>
      </w:r>
      <w:r>
        <w:rPr>
          <w:rFonts w:ascii="Times New Roman" w:cs="Times New Roman" w:eastAsia="Times New Roman" w:hAnsi="Times New Roman"/>
          <w:b w:val="false"/>
          <w:bCs w:val="false"/>
          <w:i w:val="false"/>
          <w:iCs w:val="false"/>
          <w:sz w:val="24"/>
          <w:szCs w:val="24"/>
        </w:rPr>
        <w:t xml:space="preserve">. 4. ed. São Paulo: Atlas, 2002.</w:t>
      </w:r>
    </w:p>
    <w:p>
      <w:pPr>
        <w:spacing w:after="240" w:line="240"/>
        <w:jc w:val="left"/>
      </w:pPr>
      <w:r>
        <w:rPr>
          <w:rFonts w:ascii="Times New Roman" w:cs="Times New Roman" w:eastAsia="Times New Roman" w:hAnsi="Times New Roman"/>
          <w:b w:val="false"/>
          <w:bCs w:val="false"/>
          <w:i w:val="false"/>
          <w:iCs w:val="false"/>
          <w:sz w:val="24"/>
          <w:szCs w:val="24"/>
        </w:rPr>
        <w:t xml:space="preserve">HOWKINS, John. </w:t>
      </w:r>
      <w:r>
        <w:rPr>
          <w:rFonts w:ascii="Times New Roman" w:cs="Times New Roman" w:eastAsia="Times New Roman" w:hAnsi="Times New Roman"/>
          <w:b/>
          <w:bCs/>
          <w:i w:val="false"/>
          <w:iCs w:val="false"/>
          <w:sz w:val="24"/>
          <w:szCs w:val="24"/>
        </w:rPr>
        <w:t xml:space="preserve">Economia criativa</w:t>
      </w:r>
      <w:r>
        <w:rPr>
          <w:rFonts w:ascii="Times New Roman" w:cs="Times New Roman" w:eastAsia="Times New Roman" w:hAnsi="Times New Roman"/>
          <w:b w:val="false"/>
          <w:bCs w:val="false"/>
          <w:i w:val="false"/>
          <w:iCs w:val="false"/>
          <w:sz w:val="24"/>
          <w:szCs w:val="24"/>
        </w:rPr>
        <w:t xml:space="preserve">: como ganhar dinheiro com ideias criativas. Tradução de Ariovaldo Griesi. São Paulo: M.Books, 2013.</w:t>
      </w:r>
    </w:p>
    <w:p>
      <w:pPr>
        <w:spacing w:after="240" w:line="240"/>
        <w:jc w:val="left"/>
      </w:pPr>
      <w:r>
        <w:rPr>
          <w:rFonts w:ascii="Times New Roman" w:cs="Times New Roman" w:eastAsia="Times New Roman" w:hAnsi="Times New Roman"/>
          <w:b w:val="false"/>
          <w:bCs w:val="false"/>
          <w:i w:val="false"/>
          <w:iCs w:val="false"/>
          <w:sz w:val="24"/>
          <w:szCs w:val="24"/>
        </w:rPr>
        <w:t xml:space="preserve">KENSKI, Vani Moreira. </w:t>
      </w:r>
      <w:r>
        <w:rPr>
          <w:rFonts w:ascii="Times New Roman" w:cs="Times New Roman" w:eastAsia="Times New Roman" w:hAnsi="Times New Roman"/>
          <w:b/>
          <w:bCs/>
          <w:i w:val="false"/>
          <w:iCs w:val="false"/>
          <w:sz w:val="24"/>
          <w:szCs w:val="24"/>
        </w:rPr>
        <w:t xml:space="preserve">Educação e tecnologias</w:t>
      </w:r>
      <w:r>
        <w:rPr>
          <w:rFonts w:ascii="Times New Roman" w:cs="Times New Roman" w:eastAsia="Times New Roman" w:hAnsi="Times New Roman"/>
          <w:b w:val="false"/>
          <w:bCs w:val="false"/>
          <w:i w:val="false"/>
          <w:iCs w:val="false"/>
          <w:sz w:val="24"/>
          <w:szCs w:val="24"/>
        </w:rPr>
        <w:t xml:space="preserve">: o novo ritmo da informação. Campinas, SP: Papirus, 2003.</w:t>
      </w:r>
    </w:p>
    <w:p>
      <w:pPr>
        <w:spacing w:after="240" w:line="240"/>
        <w:jc w:val="left"/>
      </w:pPr>
      <w:r>
        <w:rPr>
          <w:rFonts w:ascii="Times New Roman" w:cs="Times New Roman" w:eastAsia="Times New Roman" w:hAnsi="Times New Roman"/>
          <w:b w:val="false"/>
          <w:bCs w:val="false"/>
          <w:i w:val="false"/>
          <w:iCs w:val="false"/>
          <w:sz w:val="24"/>
          <w:szCs w:val="24"/>
        </w:rPr>
        <w:t xml:space="preserve">KOTLER, Philip; KELLER, Kevin Lane. </w:t>
      </w:r>
      <w:r>
        <w:rPr>
          <w:rFonts w:ascii="Times New Roman" w:cs="Times New Roman" w:eastAsia="Times New Roman" w:hAnsi="Times New Roman"/>
          <w:b/>
          <w:bCs/>
          <w:i w:val="false"/>
          <w:iCs w:val="false"/>
          <w:sz w:val="24"/>
          <w:szCs w:val="24"/>
        </w:rPr>
        <w:t xml:space="preserve">Administração de marketing</w:t>
      </w:r>
      <w:r>
        <w:rPr>
          <w:rFonts w:ascii="Times New Roman" w:cs="Times New Roman" w:eastAsia="Times New Roman" w:hAnsi="Times New Roman"/>
          <w:b w:val="false"/>
          <w:bCs w:val="false"/>
          <w:i w:val="false"/>
          <w:iCs w:val="false"/>
          <w:sz w:val="24"/>
          <w:szCs w:val="24"/>
        </w:rPr>
        <w:t xml:space="preserve">. 15. ed. São Paulo: Pearson Education do Brasil, 2019.</w:t>
      </w:r>
    </w:p>
    <w:p>
      <w:pPr>
        <w:spacing w:after="240" w:line="240"/>
        <w:jc w:val="left"/>
      </w:pPr>
      <w:r>
        <w:rPr>
          <w:rFonts w:ascii="Times New Roman" w:cs="Times New Roman" w:eastAsia="Times New Roman" w:hAnsi="Times New Roman"/>
          <w:b w:val="false"/>
          <w:bCs w:val="false"/>
          <w:i w:val="false"/>
          <w:iCs w:val="false"/>
          <w:sz w:val="24"/>
          <w:szCs w:val="24"/>
        </w:rPr>
        <w:t xml:space="preserve">LAUDON, Kenneth C.; TRAVER, Carol G. </w:t>
      </w:r>
      <w:r>
        <w:rPr>
          <w:rFonts w:ascii="Times New Roman" w:cs="Times New Roman" w:eastAsia="Times New Roman" w:hAnsi="Times New Roman"/>
          <w:b/>
          <w:bCs/>
          <w:i w:val="false"/>
          <w:iCs w:val="false"/>
          <w:sz w:val="24"/>
          <w:szCs w:val="24"/>
        </w:rPr>
        <w:t xml:space="preserve">E-commerce 2023</w:t>
      </w:r>
      <w:r>
        <w:rPr>
          <w:rFonts w:ascii="Times New Roman" w:cs="Times New Roman" w:eastAsia="Times New Roman" w:hAnsi="Times New Roman"/>
          <w:b w:val="false"/>
          <w:bCs w:val="false"/>
          <w:i w:val="false"/>
          <w:iCs w:val="false"/>
          <w:sz w:val="24"/>
          <w:szCs w:val="24"/>
        </w:rPr>
        <w:t xml:space="preserve">: business, technology, society. 17. ed. </w:t>
      </w:r>
      <w:r>
        <w:rPr>
          <w:rFonts w:ascii="Times New Roman" w:cs="Times New Roman" w:eastAsia="Times New Roman" w:hAnsi="Times New Roman"/>
          <w:b w:val="false"/>
          <w:bCs w:val="false"/>
          <w:i w:val="false"/>
          <w:iCs w:val="false"/>
          <w:sz w:val="24"/>
          <w:szCs w:val="24"/>
        </w:rPr>
        <w:t xml:space="preserve">[S. l.]</w:t>
      </w:r>
      <w:r>
        <w:rPr>
          <w:rFonts w:ascii="Times New Roman" w:cs="Times New Roman" w:eastAsia="Times New Roman" w:hAnsi="Times New Roman"/>
          <w:b w:val="false"/>
          <w:bCs w:val="false"/>
          <w:i w:val="false"/>
          <w:iCs w:val="false"/>
          <w:sz w:val="24"/>
          <w:szCs w:val="24"/>
        </w:rPr>
        <w:t xml:space="preserve">: Pearson, 2023.</w:t>
      </w:r>
    </w:p>
    <w:p>
      <w:pPr>
        <w:spacing w:after="240" w:line="240"/>
        <w:jc w:val="left"/>
      </w:pPr>
      <w:r>
        <w:rPr>
          <w:rFonts w:ascii="Times New Roman" w:cs="Times New Roman" w:eastAsia="Times New Roman" w:hAnsi="Times New Roman"/>
          <w:b w:val="false"/>
          <w:bCs w:val="false"/>
          <w:i w:val="false"/>
          <w:iCs w:val="false"/>
          <w:sz w:val="24"/>
          <w:szCs w:val="24"/>
        </w:rPr>
        <w:t xml:space="preserve">MARCONI, Marina de Andrade; LAKATOS, Eva Maria. </w:t>
      </w:r>
      <w:r>
        <w:rPr>
          <w:rFonts w:ascii="Times New Roman" w:cs="Times New Roman" w:eastAsia="Times New Roman" w:hAnsi="Times New Roman"/>
          <w:b/>
          <w:bCs/>
          <w:i w:val="false"/>
          <w:iCs w:val="false"/>
          <w:sz w:val="24"/>
          <w:szCs w:val="24"/>
        </w:rPr>
        <w:t xml:space="preserve">Fundamentos de metodologia científica</w:t>
      </w:r>
      <w:r>
        <w:rPr>
          <w:rFonts w:ascii="Times New Roman" w:cs="Times New Roman" w:eastAsia="Times New Roman" w:hAnsi="Times New Roman"/>
          <w:b w:val="false"/>
          <w:bCs w:val="false"/>
          <w:i w:val="false"/>
          <w:iCs w:val="false"/>
          <w:sz w:val="24"/>
          <w:szCs w:val="24"/>
        </w:rPr>
        <w:t xml:space="preserve">. 5. ed. São Paulo: Atlas, 2003.</w:t>
      </w:r>
    </w:p>
    <w:p>
      <w:pPr>
        <w:spacing w:after="240" w:line="240"/>
        <w:jc w:val="left"/>
      </w:pPr>
      <w:r>
        <w:rPr>
          <w:rFonts w:ascii="Times New Roman" w:cs="Times New Roman" w:eastAsia="Times New Roman" w:hAnsi="Times New Roman"/>
          <w:b w:val="false"/>
          <w:bCs w:val="false"/>
          <w:i w:val="false"/>
          <w:iCs w:val="false"/>
          <w:sz w:val="24"/>
          <w:szCs w:val="24"/>
        </w:rPr>
        <w:t xml:space="preserve">MORAN, José Manuel; MASETTO, Marcos Tarciso; BEHRENS, Marilda Aparecida. </w:t>
      </w:r>
      <w:r>
        <w:rPr>
          <w:rFonts w:ascii="Times New Roman" w:cs="Times New Roman" w:eastAsia="Times New Roman" w:hAnsi="Times New Roman"/>
          <w:b/>
          <w:bCs/>
          <w:i w:val="false"/>
          <w:iCs w:val="false"/>
          <w:sz w:val="24"/>
          <w:szCs w:val="24"/>
        </w:rPr>
        <w:t xml:space="preserve">Novas tecnologias e mediação pedagógica</w:t>
      </w:r>
      <w:r>
        <w:rPr>
          <w:rFonts w:ascii="Times New Roman" w:cs="Times New Roman" w:eastAsia="Times New Roman" w:hAnsi="Times New Roman"/>
          <w:b w:val="false"/>
          <w:bCs w:val="false"/>
          <w:i w:val="false"/>
          <w:iCs w:val="false"/>
          <w:sz w:val="24"/>
          <w:szCs w:val="24"/>
        </w:rPr>
        <w:t xml:space="preserve">. 21. ed. Campinas, SP: Papirus, 2013. (Coleção Papirus Educação).</w:t>
      </w:r>
    </w:p>
    <w:p>
      <w:pPr>
        <w:spacing w:after="240" w:line="240"/>
        <w:jc w:val="left"/>
      </w:pPr>
      <w:r>
        <w:rPr>
          <w:rFonts w:ascii="Times New Roman" w:cs="Times New Roman" w:eastAsia="Times New Roman" w:hAnsi="Times New Roman"/>
          <w:b w:val="false"/>
          <w:bCs w:val="false"/>
          <w:i w:val="false"/>
          <w:iCs w:val="false"/>
          <w:sz w:val="24"/>
          <w:szCs w:val="24"/>
        </w:rPr>
        <w:t xml:space="preserve">NÓVOA, António. Firmar a posição como professor, afirmar a profissão docente. </w:t>
      </w:r>
      <w:r>
        <w:rPr>
          <w:rFonts w:ascii="Times New Roman" w:cs="Times New Roman" w:eastAsia="Times New Roman" w:hAnsi="Times New Roman"/>
          <w:b/>
          <w:bCs/>
          <w:i w:val="false"/>
          <w:iCs w:val="false"/>
          <w:sz w:val="24"/>
          <w:szCs w:val="24"/>
        </w:rPr>
        <w:t xml:space="preserve">Cadernos de Pesquisa</w:t>
      </w:r>
      <w:r>
        <w:rPr>
          <w:rFonts w:ascii="Times New Roman" w:cs="Times New Roman" w:eastAsia="Times New Roman" w:hAnsi="Times New Roman"/>
          <w:b w:val="false"/>
          <w:bCs w:val="false"/>
          <w:i w:val="false"/>
          <w:iCs w:val="false"/>
          <w:sz w:val="24"/>
          <w:szCs w:val="24"/>
        </w:rPr>
        <w:t xml:space="preserve">, São Paulo, v. 47, n. 166, p. 1106-1133, out./dez. 2017. DOI: 10.1590/198053144843. Disponível em: https://www.scielo.br/j/cp/a/WYkPDBFzMzrvnbsbYjmvCbd/. Acesso em: 12 jun. 2026.</w:t>
      </w:r>
    </w:p>
    <w:p>
      <w:pPr>
        <w:spacing w:after="240" w:line="240"/>
        <w:jc w:val="left"/>
      </w:pPr>
      <w:r>
        <w:rPr>
          <w:rFonts w:ascii="Times New Roman" w:cs="Times New Roman" w:eastAsia="Times New Roman" w:hAnsi="Times New Roman"/>
          <w:b w:val="false"/>
          <w:bCs w:val="false"/>
          <w:i w:val="false"/>
          <w:iCs w:val="false"/>
          <w:sz w:val="24"/>
          <w:szCs w:val="24"/>
        </w:rPr>
        <w:t xml:space="preserve">OLIVEIRA, Dalila Andrade. A reestruturação do trabalho docente: precarização e flexibilização. </w:t>
      </w:r>
      <w:r>
        <w:rPr>
          <w:rFonts w:ascii="Times New Roman" w:cs="Times New Roman" w:eastAsia="Times New Roman" w:hAnsi="Times New Roman"/>
          <w:b/>
          <w:bCs/>
          <w:i w:val="false"/>
          <w:iCs w:val="false"/>
          <w:sz w:val="24"/>
          <w:szCs w:val="24"/>
        </w:rPr>
        <w:t xml:space="preserve">Educação &amp; Sociedade</w:t>
      </w:r>
      <w:r>
        <w:rPr>
          <w:rFonts w:ascii="Times New Roman" w:cs="Times New Roman" w:eastAsia="Times New Roman" w:hAnsi="Times New Roman"/>
          <w:b w:val="false"/>
          <w:bCs w:val="false"/>
          <w:i w:val="false"/>
          <w:iCs w:val="false"/>
          <w:sz w:val="24"/>
          <w:szCs w:val="24"/>
        </w:rPr>
        <w:t xml:space="preserve">, Campinas, v. 25, n. 89, p. 1127-1144, set./dez. 2004. DOI: 10.1590/S0101-73302004000400003. Disponível em: https://www.scielo.br/j/es/a/NM7Gfq9ZpjpVcJnsSFdrM3F/. Acesso em: 12 jun. 2026.</w:t>
      </w:r>
    </w:p>
    <w:p>
      <w:pPr>
        <w:spacing w:after="240" w:line="240"/>
        <w:jc w:val="left"/>
      </w:pPr>
      <w:r>
        <w:rPr>
          <w:rFonts w:ascii="Times New Roman" w:cs="Times New Roman" w:eastAsia="Times New Roman" w:hAnsi="Times New Roman"/>
          <w:b w:val="false"/>
          <w:bCs w:val="false"/>
          <w:i w:val="false"/>
          <w:iCs w:val="false"/>
          <w:sz w:val="24"/>
          <w:szCs w:val="24"/>
        </w:rPr>
        <w:t xml:space="preserve">OPENJS FOUNDATION. </w:t>
      </w:r>
      <w:r>
        <w:rPr>
          <w:rFonts w:ascii="Times New Roman" w:cs="Times New Roman" w:eastAsia="Times New Roman" w:hAnsi="Times New Roman"/>
          <w:b/>
          <w:bCs/>
          <w:i w:val="false"/>
          <w:iCs w:val="false"/>
          <w:sz w:val="24"/>
          <w:szCs w:val="24"/>
        </w:rPr>
        <w:t xml:space="preserve">Node.js</w:t>
      </w:r>
      <w:r>
        <w:rPr>
          <w:rFonts w:ascii="Times New Roman" w:cs="Times New Roman" w:eastAsia="Times New Roman" w:hAnsi="Times New Roman"/>
          <w:b w:val="false"/>
          <w:bCs w:val="false"/>
          <w:i w:val="false"/>
          <w:iCs w:val="false"/>
          <w:sz w:val="24"/>
          <w:szCs w:val="24"/>
        </w:rPr>
        <w:t xml:space="preserve">: documentação oficial. </w:t>
      </w:r>
      <w:r>
        <w:rPr>
          <w:rFonts w:ascii="Times New Roman" w:cs="Times New Roman" w:eastAsia="Times New Roman" w:hAnsi="Times New Roman"/>
          <w:b w:val="false"/>
          <w:bCs w:val="false"/>
          <w:i w:val="false"/>
          <w:iCs w:val="false"/>
          <w:sz w:val="24"/>
          <w:szCs w:val="24"/>
        </w:rPr>
        <w:t xml:space="preserve">[S. l.]</w:t>
      </w:r>
      <w:r>
        <w:rPr>
          <w:rFonts w:ascii="Times New Roman" w:cs="Times New Roman" w:eastAsia="Times New Roman" w:hAnsi="Times New Roman"/>
          <w:b w:val="false"/>
          <w:bCs w:val="false"/>
          <w:i w:val="false"/>
          <w:iCs w:val="false"/>
          <w:sz w:val="24"/>
          <w:szCs w:val="24"/>
        </w:rPr>
        <w:t xml:space="preserve">: OpenJS Foundation, 2026. Disponível em: https://nodejs.org/en/docs. Acesso em: 12 jun. 2026.</w:t>
      </w:r>
    </w:p>
    <w:p>
      <w:pPr>
        <w:spacing w:after="240" w:line="240"/>
        <w:jc w:val="left"/>
      </w:pPr>
      <w:r>
        <w:rPr>
          <w:rFonts w:ascii="Times New Roman" w:cs="Times New Roman" w:eastAsia="Times New Roman" w:hAnsi="Times New Roman"/>
          <w:b w:val="false"/>
          <w:bCs w:val="false"/>
          <w:i w:val="false"/>
          <w:iCs w:val="false"/>
          <w:sz w:val="24"/>
          <w:szCs w:val="24"/>
        </w:rPr>
        <w:t xml:space="preserve">PARKER, Geoffrey G.; VAN ALSTYNE, Marshall W.; CHOUDARY, Sangeet Paul. </w:t>
      </w:r>
      <w:r>
        <w:rPr>
          <w:rFonts w:ascii="Times New Roman" w:cs="Times New Roman" w:eastAsia="Times New Roman" w:hAnsi="Times New Roman"/>
          <w:b/>
          <w:bCs/>
          <w:i w:val="false"/>
          <w:iCs w:val="false"/>
          <w:sz w:val="24"/>
          <w:szCs w:val="24"/>
        </w:rPr>
        <w:t xml:space="preserve">Plataforma</w:t>
      </w:r>
      <w:r>
        <w:rPr>
          <w:rFonts w:ascii="Times New Roman" w:cs="Times New Roman" w:eastAsia="Times New Roman" w:hAnsi="Times New Roman"/>
          <w:b w:val="false"/>
          <w:bCs w:val="false"/>
          <w:i w:val="false"/>
          <w:iCs w:val="false"/>
          <w:sz w:val="24"/>
          <w:szCs w:val="24"/>
        </w:rPr>
        <w:t xml:space="preserve">: a revolução da estratégia. Rio de Janeiro: Alta Books, 2020.</w:t>
      </w:r>
    </w:p>
    <w:p>
      <w:pPr>
        <w:spacing w:after="240" w:line="240"/>
        <w:jc w:val="left"/>
      </w:pPr>
      <w:r>
        <w:rPr>
          <w:rFonts w:ascii="Times New Roman" w:cs="Times New Roman" w:eastAsia="Times New Roman" w:hAnsi="Times New Roman"/>
          <w:b w:val="false"/>
          <w:bCs w:val="false"/>
          <w:i w:val="false"/>
          <w:iCs w:val="false"/>
          <w:sz w:val="24"/>
          <w:szCs w:val="24"/>
        </w:rPr>
        <w:t xml:space="preserve">POSTGRESQL GLOBAL DEVELOPMENT GROUP. </w:t>
      </w:r>
      <w:r>
        <w:rPr>
          <w:rFonts w:ascii="Times New Roman" w:cs="Times New Roman" w:eastAsia="Times New Roman" w:hAnsi="Times New Roman"/>
          <w:b/>
          <w:bCs/>
          <w:i w:val="false"/>
          <w:iCs w:val="false"/>
          <w:sz w:val="24"/>
          <w:szCs w:val="24"/>
        </w:rPr>
        <w:t xml:space="preserve">PostgreSQL documentation</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[S. l.]</w:t>
      </w:r>
      <w:r>
        <w:rPr>
          <w:rFonts w:ascii="Times New Roman" w:cs="Times New Roman" w:eastAsia="Times New Roman" w:hAnsi="Times New Roman"/>
          <w:b w:val="false"/>
          <w:bCs w:val="false"/>
          <w:i w:val="false"/>
          <w:iCs w:val="false"/>
          <w:sz w:val="24"/>
          <w:szCs w:val="24"/>
        </w:rPr>
        <w:t xml:space="preserve">: The PostgreSQL Global Development Group, 2026. Disponível em: https://www.postgresql.org/docs/. Acesso em: 12 jun. 2026.</w:t>
      </w:r>
    </w:p>
    <w:p>
      <w:pPr>
        <w:spacing w:after="240" w:line="240"/>
        <w:jc w:val="left"/>
      </w:pPr>
      <w:r>
        <w:rPr>
          <w:rFonts w:ascii="Times New Roman" w:cs="Times New Roman" w:eastAsia="Times New Roman" w:hAnsi="Times New Roman"/>
          <w:b w:val="false"/>
          <w:bCs w:val="false"/>
          <w:i w:val="false"/>
          <w:iCs w:val="false"/>
          <w:sz w:val="24"/>
          <w:szCs w:val="24"/>
        </w:rPr>
        <w:t xml:space="preserve">PRESSMAN, Roger S.; MAXIM, Bruce R. </w:t>
      </w:r>
      <w:r>
        <w:rPr>
          <w:rFonts w:ascii="Times New Roman" w:cs="Times New Roman" w:eastAsia="Times New Roman" w:hAnsi="Times New Roman"/>
          <w:b/>
          <w:bCs/>
          <w:i w:val="false"/>
          <w:iCs w:val="false"/>
          <w:sz w:val="24"/>
          <w:szCs w:val="24"/>
        </w:rPr>
        <w:t xml:space="preserve">Engenharia de software</w:t>
      </w:r>
      <w:r>
        <w:rPr>
          <w:rFonts w:ascii="Times New Roman" w:cs="Times New Roman" w:eastAsia="Times New Roman" w:hAnsi="Times New Roman"/>
          <w:b w:val="false"/>
          <w:bCs w:val="false"/>
          <w:i w:val="false"/>
          <w:iCs w:val="false"/>
          <w:sz w:val="24"/>
          <w:szCs w:val="24"/>
        </w:rPr>
        <w:t xml:space="preserve">: uma abordagem profissional. 8. ed. Porto Alegre: AMGH, 2016.</w:t>
      </w:r>
    </w:p>
    <w:p>
      <w:pPr>
        <w:spacing w:after="240" w:line="240"/>
        <w:jc w:val="left"/>
      </w:pPr>
      <w:r>
        <w:rPr>
          <w:rFonts w:ascii="Times New Roman" w:cs="Times New Roman" w:eastAsia="Times New Roman" w:hAnsi="Times New Roman"/>
          <w:b w:val="false"/>
          <w:bCs w:val="false"/>
          <w:i w:val="false"/>
          <w:iCs w:val="false"/>
          <w:sz w:val="24"/>
          <w:szCs w:val="24"/>
        </w:rPr>
        <w:t xml:space="preserve">PRODANOV, Cleber Cristiano; FREITAS, Ernani Cesar de. </w:t>
      </w:r>
      <w:r>
        <w:rPr>
          <w:rFonts w:ascii="Times New Roman" w:cs="Times New Roman" w:eastAsia="Times New Roman" w:hAnsi="Times New Roman"/>
          <w:b/>
          <w:bCs/>
          <w:i w:val="false"/>
          <w:iCs w:val="false"/>
          <w:sz w:val="24"/>
          <w:szCs w:val="24"/>
        </w:rPr>
        <w:t xml:space="preserve">Metodologia do trabalho científico</w:t>
      </w:r>
      <w:r>
        <w:rPr>
          <w:rFonts w:ascii="Times New Roman" w:cs="Times New Roman" w:eastAsia="Times New Roman" w:hAnsi="Times New Roman"/>
          <w:b w:val="false"/>
          <w:bCs w:val="false"/>
          <w:i w:val="false"/>
          <w:iCs w:val="false"/>
          <w:sz w:val="24"/>
          <w:szCs w:val="24"/>
        </w:rPr>
        <w:t xml:space="preserve">: métodos e técnicas da pesquisa e do trabalho acadêmico. 2. ed. Novo Hamburgo: Feevale, 2013. E-book. Disponível em: https://www.feevale.br/Comum/midias/0163c988-1f5d-496f-b118-a6e009a7a2f9/E-book%20Metodologia%20do%20Trabalho%20Cientifico%20.pdf. Acesso em: 12 jun. 2026.</w:t>
      </w:r>
    </w:p>
    <w:p>
      <w:pPr>
        <w:spacing w:after="240" w:line="240"/>
        <w:jc w:val="left"/>
      </w:pPr>
      <w:r>
        <w:rPr>
          <w:rFonts w:ascii="Times New Roman" w:cs="Times New Roman" w:eastAsia="Times New Roman" w:hAnsi="Times New Roman"/>
          <w:b w:val="false"/>
          <w:bCs w:val="false"/>
          <w:i w:val="false"/>
          <w:iCs w:val="false"/>
          <w:sz w:val="24"/>
          <w:szCs w:val="24"/>
        </w:rPr>
        <w:t xml:space="preserve">REACT FOUNDATION. </w:t>
      </w:r>
      <w:r>
        <w:rPr>
          <w:rFonts w:ascii="Times New Roman" w:cs="Times New Roman" w:eastAsia="Times New Roman" w:hAnsi="Times New Roman"/>
          <w:b/>
          <w:bCs/>
          <w:i w:val="false"/>
          <w:iCs w:val="false"/>
          <w:sz w:val="24"/>
          <w:szCs w:val="24"/>
        </w:rPr>
        <w:t xml:space="preserve">React</w:t>
      </w:r>
      <w:r>
        <w:rPr>
          <w:rFonts w:ascii="Times New Roman" w:cs="Times New Roman" w:eastAsia="Times New Roman" w:hAnsi="Times New Roman"/>
          <w:b w:val="false"/>
          <w:bCs w:val="false"/>
          <w:i w:val="false"/>
          <w:iCs w:val="false"/>
          <w:sz w:val="24"/>
          <w:szCs w:val="24"/>
        </w:rPr>
        <w:t xml:space="preserve">: documentação oficial. </w:t>
      </w:r>
      <w:r>
        <w:rPr>
          <w:rFonts w:ascii="Times New Roman" w:cs="Times New Roman" w:eastAsia="Times New Roman" w:hAnsi="Times New Roman"/>
          <w:b w:val="false"/>
          <w:bCs w:val="false"/>
          <w:i w:val="false"/>
          <w:iCs w:val="false"/>
          <w:sz w:val="24"/>
          <w:szCs w:val="24"/>
        </w:rPr>
        <w:t xml:space="preserve">[S. l.]</w:t>
      </w:r>
      <w:r>
        <w:rPr>
          <w:rFonts w:ascii="Times New Roman" w:cs="Times New Roman" w:eastAsia="Times New Roman" w:hAnsi="Times New Roman"/>
          <w:b w:val="false"/>
          <w:bCs w:val="false"/>
          <w:i w:val="false"/>
          <w:iCs w:val="false"/>
          <w:sz w:val="24"/>
          <w:szCs w:val="24"/>
        </w:rPr>
        <w:t xml:space="preserve">: React Foundation, 2026. Disponível em: https://react.dev/learn. Acesso em: 12 jun. 2026.</w:t>
      </w:r>
    </w:p>
    <w:p>
      <w:pPr>
        <w:spacing w:after="240" w:line="240"/>
        <w:jc w:val="left"/>
      </w:pPr>
      <w:r>
        <w:rPr>
          <w:rFonts w:ascii="Times New Roman" w:cs="Times New Roman" w:eastAsia="Times New Roman" w:hAnsi="Times New Roman"/>
          <w:b w:val="false"/>
          <w:bCs w:val="false"/>
          <w:i w:val="false"/>
          <w:iCs w:val="false"/>
          <w:sz w:val="24"/>
          <w:szCs w:val="24"/>
        </w:rPr>
        <w:t xml:space="preserve">ROBERTS, Mike. </w:t>
      </w:r>
      <w:r>
        <w:rPr>
          <w:rFonts w:ascii="Times New Roman" w:cs="Times New Roman" w:eastAsia="Times New Roman" w:hAnsi="Times New Roman"/>
          <w:b/>
          <w:bCs/>
          <w:i w:val="false"/>
          <w:iCs w:val="false"/>
          <w:sz w:val="24"/>
          <w:szCs w:val="24"/>
        </w:rPr>
        <w:t xml:space="preserve">Serverless architectures</w:t>
      </w:r>
      <w:r>
        <w:rPr>
          <w:rFonts w:ascii="Times New Roman" w:cs="Times New Roman" w:eastAsia="Times New Roman" w:hAnsi="Times New Roman"/>
          <w:b w:val="false"/>
          <w:bCs w:val="false"/>
          <w:i w:val="false"/>
          <w:iCs w:val="false"/>
          <w:sz w:val="24"/>
          <w:szCs w:val="24"/>
        </w:rPr>
        <w:t xml:space="preserve">. martinfowler.com, 22 maio 2018. Disponível em: https://martinfowler.com/articles/serverless.html. Acesso em: 12 jun. 2026.</w:t>
      </w:r>
    </w:p>
    <w:p>
      <w:pPr>
        <w:spacing w:after="240" w:line="240"/>
        <w:jc w:val="left"/>
      </w:pPr>
      <w:r>
        <w:rPr>
          <w:rFonts w:ascii="Times New Roman" w:cs="Times New Roman" w:eastAsia="Times New Roman" w:hAnsi="Times New Roman"/>
          <w:b w:val="false"/>
          <w:bCs w:val="false"/>
          <w:i w:val="false"/>
          <w:iCs w:val="false"/>
          <w:sz w:val="24"/>
          <w:szCs w:val="24"/>
        </w:rPr>
        <w:t xml:space="preserve">SAVIANI, Dermeval. Trabalho e educação: fundamentos ontológicos e históricos. </w:t>
      </w:r>
      <w:r>
        <w:rPr>
          <w:rFonts w:ascii="Times New Roman" w:cs="Times New Roman" w:eastAsia="Times New Roman" w:hAnsi="Times New Roman"/>
          <w:b/>
          <w:bCs/>
          <w:i w:val="false"/>
          <w:iCs w:val="false"/>
          <w:sz w:val="24"/>
          <w:szCs w:val="24"/>
        </w:rPr>
        <w:t xml:space="preserve">Revista Brasileira de Educação</w:t>
      </w:r>
      <w:r>
        <w:rPr>
          <w:rFonts w:ascii="Times New Roman" w:cs="Times New Roman" w:eastAsia="Times New Roman" w:hAnsi="Times New Roman"/>
          <w:b w:val="false"/>
          <w:bCs w:val="false"/>
          <w:i w:val="false"/>
          <w:iCs w:val="false"/>
          <w:sz w:val="24"/>
          <w:szCs w:val="24"/>
        </w:rPr>
        <w:t xml:space="preserve">, Rio de Janeiro, v. 12, n. 34, p. 152-165, jan./abr. 2007. DOI: 10.1590/S1413-24782007000100012. Disponível em: https://www.scielo.br/j/rbedu/a/wBnPGNkvstzMTLYkmXdrkWP/. Acesso em: 12 jun. 2026.</w:t>
      </w:r>
    </w:p>
    <w:p>
      <w:pPr>
        <w:spacing w:after="240" w:line="240"/>
        <w:jc w:val="left"/>
      </w:pPr>
      <w:r>
        <w:rPr>
          <w:rFonts w:ascii="Times New Roman" w:cs="Times New Roman" w:eastAsia="Times New Roman" w:hAnsi="Times New Roman"/>
          <w:b w:val="false"/>
          <w:bCs w:val="false"/>
          <w:i w:val="false"/>
          <w:iCs w:val="false"/>
          <w:sz w:val="24"/>
          <w:szCs w:val="24"/>
        </w:rPr>
        <w:t xml:space="preserve">SHELTON, Catharyn C.; ARCHAMBAULT, Leanna M. Who are online teacherpreneurs and what do they do? A survey of content creators on TeachersPayTeachers.com. </w:t>
      </w:r>
      <w:r>
        <w:rPr>
          <w:rFonts w:ascii="Times New Roman" w:cs="Times New Roman" w:eastAsia="Times New Roman" w:hAnsi="Times New Roman"/>
          <w:b/>
          <w:bCs/>
          <w:i w:val="false"/>
          <w:iCs w:val="false"/>
          <w:sz w:val="24"/>
          <w:szCs w:val="24"/>
        </w:rPr>
        <w:t xml:space="preserve">Journal of Research on Technology in Education</w:t>
      </w:r>
      <w:r>
        <w:rPr>
          <w:rFonts w:ascii="Times New Roman" w:cs="Times New Roman" w:eastAsia="Times New Roman" w:hAnsi="Times New Roman"/>
          <w:b w:val="false"/>
          <w:bCs w:val="false"/>
          <w:i w:val="false"/>
          <w:iCs w:val="false"/>
          <w:sz w:val="24"/>
          <w:szCs w:val="24"/>
        </w:rPr>
        <w:t xml:space="preserve">, v. 51, n. 4, p. 398-414, 2019. DOI: 10.1080/15391523.2019.1666757. Disponível em: https://doi.org/10.1080/15391523.2019.1666757. Acesso em: 12 jun. 2026.</w:t>
      </w:r>
    </w:p>
    <w:p>
      <w:pPr>
        <w:spacing w:after="240" w:line="240"/>
        <w:jc w:val="left"/>
      </w:pPr>
      <w:r>
        <w:rPr>
          <w:rFonts w:ascii="Times New Roman" w:cs="Times New Roman" w:eastAsia="Times New Roman" w:hAnsi="Times New Roman"/>
          <w:b w:val="false"/>
          <w:bCs w:val="false"/>
          <w:i w:val="false"/>
          <w:iCs w:val="false"/>
          <w:sz w:val="24"/>
          <w:szCs w:val="24"/>
        </w:rPr>
        <w:t xml:space="preserve">SUPABASE. </w:t>
      </w:r>
      <w:r>
        <w:rPr>
          <w:rFonts w:ascii="Times New Roman" w:cs="Times New Roman" w:eastAsia="Times New Roman" w:hAnsi="Times New Roman"/>
          <w:b/>
          <w:bCs/>
          <w:i w:val="false"/>
          <w:iCs w:val="false"/>
          <w:sz w:val="24"/>
          <w:szCs w:val="24"/>
        </w:rPr>
        <w:t xml:space="preserve">Supabase docs</w:t>
      </w:r>
      <w:r>
        <w:rPr>
          <w:rFonts w:ascii="Times New Roman" w:cs="Times New Roman" w:eastAsia="Times New Roman" w:hAnsi="Times New Roman"/>
          <w:b w:val="false"/>
          <w:bCs w:val="false"/>
          <w:i w:val="false"/>
          <w:iCs w:val="false"/>
          <w:sz w:val="24"/>
          <w:szCs w:val="24"/>
        </w:rPr>
        <w:t xml:space="preserve">: documentação oficial. </w:t>
      </w:r>
      <w:r>
        <w:rPr>
          <w:rFonts w:ascii="Times New Roman" w:cs="Times New Roman" w:eastAsia="Times New Roman" w:hAnsi="Times New Roman"/>
          <w:b w:val="false"/>
          <w:bCs w:val="false"/>
          <w:i w:val="false"/>
          <w:iCs w:val="false"/>
          <w:sz w:val="24"/>
          <w:szCs w:val="24"/>
        </w:rPr>
        <w:t xml:space="preserve">[S. l.]</w:t>
      </w:r>
      <w:r>
        <w:rPr>
          <w:rFonts w:ascii="Times New Roman" w:cs="Times New Roman" w:eastAsia="Times New Roman" w:hAnsi="Times New Roman"/>
          <w:b w:val="false"/>
          <w:bCs w:val="false"/>
          <w:i w:val="false"/>
          <w:iCs w:val="false"/>
          <w:sz w:val="24"/>
          <w:szCs w:val="24"/>
        </w:rPr>
        <w:t xml:space="preserve">: Supabase, 2026. Disponível em: https://supabase.com/docs. Acesso em: 12 jun. 2026.</w:t>
      </w:r>
    </w:p>
    <w:p>
      <w:pPr>
        <w:spacing w:after="240" w:line="240"/>
        <w:jc w:val="left"/>
      </w:pPr>
      <w:r>
        <w:rPr>
          <w:rFonts w:ascii="Times New Roman" w:cs="Times New Roman" w:eastAsia="Times New Roman" w:hAnsi="Times New Roman"/>
          <w:b w:val="false"/>
          <w:bCs w:val="false"/>
          <w:i w:val="false"/>
          <w:iCs w:val="false"/>
          <w:sz w:val="24"/>
          <w:szCs w:val="24"/>
        </w:rPr>
        <w:t xml:space="preserve">TARDIF, Maurice. </w:t>
      </w:r>
      <w:r>
        <w:rPr>
          <w:rFonts w:ascii="Times New Roman" w:cs="Times New Roman" w:eastAsia="Times New Roman" w:hAnsi="Times New Roman"/>
          <w:b/>
          <w:bCs/>
          <w:i w:val="false"/>
          <w:iCs w:val="false"/>
          <w:sz w:val="24"/>
          <w:szCs w:val="24"/>
        </w:rPr>
        <w:t xml:space="preserve">Saberes docentes e formação profissional</w:t>
      </w:r>
      <w:r>
        <w:rPr>
          <w:rFonts w:ascii="Times New Roman" w:cs="Times New Roman" w:eastAsia="Times New Roman" w:hAnsi="Times New Roman"/>
          <w:b w:val="false"/>
          <w:bCs w:val="false"/>
          <w:i w:val="false"/>
          <w:iCs w:val="false"/>
          <w:sz w:val="24"/>
          <w:szCs w:val="24"/>
        </w:rPr>
        <w:t xml:space="preserve">. 17. ed. Petrópolis: Vozes, 2014.</w:t>
      </w:r>
    </w:p>
    <w:p>
      <w:pPr>
        <w:spacing w:after="240" w:line="240"/>
        <w:jc w:val="left"/>
      </w:pPr>
      <w:r>
        <w:rPr>
          <w:rFonts w:ascii="Times New Roman" w:cs="Times New Roman" w:eastAsia="Times New Roman" w:hAnsi="Times New Roman"/>
          <w:b w:val="false"/>
          <w:bCs w:val="false"/>
          <w:i w:val="false"/>
          <w:iCs w:val="false"/>
          <w:sz w:val="24"/>
          <w:szCs w:val="24"/>
        </w:rPr>
        <w:t xml:space="preserve">TURBAN, Efraim; OUTLAND, Jon; KING, David; LEE, Jae Kyu; LIANG, Ting-Peng; TURBAN, Deborrah C. </w:t>
      </w:r>
      <w:r>
        <w:rPr>
          <w:rFonts w:ascii="Times New Roman" w:cs="Times New Roman" w:eastAsia="Times New Roman" w:hAnsi="Times New Roman"/>
          <w:b/>
          <w:bCs/>
          <w:i w:val="false"/>
          <w:iCs w:val="false"/>
          <w:sz w:val="24"/>
          <w:szCs w:val="24"/>
        </w:rPr>
        <w:t xml:space="preserve">Electronic commerce 2018</w:t>
      </w:r>
      <w:r>
        <w:rPr>
          <w:rFonts w:ascii="Times New Roman" w:cs="Times New Roman" w:eastAsia="Times New Roman" w:hAnsi="Times New Roman"/>
          <w:b w:val="false"/>
          <w:bCs w:val="false"/>
          <w:i w:val="false"/>
          <w:iCs w:val="false"/>
          <w:sz w:val="24"/>
          <w:szCs w:val="24"/>
        </w:rPr>
        <w:t xml:space="preserve">: a managerial and social networks perspective. 9. ed. Cham: Springer, 2018. (Springer Texts in Business and Economics). DOI: 10.1007/978-3-319-58715-8.</w:t>
      </w:r>
    </w:p>
    <w:p>
      <w:pPr>
        <w:spacing w:after="240" w:line="240"/>
        <w:jc w:val="left"/>
      </w:pPr>
      <w:r>
        <w:rPr>
          <w:rFonts w:ascii="Times New Roman" w:cs="Times New Roman" w:eastAsia="Times New Roman" w:hAnsi="Times New Roman"/>
          <w:b w:val="false"/>
          <w:bCs w:val="false"/>
          <w:i w:val="false"/>
          <w:iCs w:val="false"/>
          <w:sz w:val="24"/>
          <w:szCs w:val="24"/>
        </w:rPr>
        <w:t xml:space="preserve">UNCTAD - UNITED NATIONS CONFERENCE ON TRADE AND DEVELOPMENT. </w:t>
      </w:r>
      <w:r>
        <w:rPr>
          <w:rFonts w:ascii="Times New Roman" w:cs="Times New Roman" w:eastAsia="Times New Roman" w:hAnsi="Times New Roman"/>
          <w:b/>
          <w:bCs/>
          <w:i w:val="false"/>
          <w:iCs w:val="false"/>
          <w:sz w:val="24"/>
          <w:szCs w:val="24"/>
        </w:rPr>
        <w:t xml:space="preserve">Creative Economy Outlook 2024</w:t>
      </w:r>
      <w:r>
        <w:rPr>
          <w:rFonts w:ascii="Times New Roman" w:cs="Times New Roman" w:eastAsia="Times New Roman" w:hAnsi="Times New Roman"/>
          <w:b w:val="false"/>
          <w:bCs w:val="false"/>
          <w:i w:val="false"/>
          <w:iCs w:val="false"/>
          <w:sz w:val="24"/>
          <w:szCs w:val="24"/>
        </w:rPr>
        <w:t xml:space="preserve">. Genebra: Nações Unidas, 2024. (UNCTAD/DITC/TSCE/2024/2). Disponível em: https://unctad.org/publication/creative-economy-outlook-2024. Acesso em: 12 jun. 2026.</w:t>
      </w:r>
    </w:p>
    <w:p>
      <w:pPr>
        <w:spacing w:after="240" w:line="240"/>
        <w:jc w:val="left"/>
      </w:pPr>
      <w:r>
        <w:rPr>
          <w:rFonts w:ascii="Times New Roman" w:cs="Times New Roman" w:eastAsia="Times New Roman" w:hAnsi="Times New Roman"/>
          <w:b w:val="false"/>
          <w:bCs w:val="false"/>
          <w:i w:val="false"/>
          <w:iCs w:val="false"/>
          <w:sz w:val="24"/>
          <w:szCs w:val="24"/>
        </w:rPr>
        <w:t xml:space="preserve">VALENTE, José Armando. Blended learning e as mudanças no ensino superior: a proposta da sala de aula invertida. </w:t>
      </w:r>
      <w:r>
        <w:rPr>
          <w:rFonts w:ascii="Times New Roman" w:cs="Times New Roman" w:eastAsia="Times New Roman" w:hAnsi="Times New Roman"/>
          <w:b/>
          <w:bCs/>
          <w:i w:val="false"/>
          <w:iCs w:val="false"/>
          <w:sz w:val="24"/>
          <w:szCs w:val="24"/>
        </w:rPr>
        <w:t xml:space="preserve">Educar em Revista</w:t>
      </w:r>
      <w:r>
        <w:rPr>
          <w:rFonts w:ascii="Times New Roman" w:cs="Times New Roman" w:eastAsia="Times New Roman" w:hAnsi="Times New Roman"/>
          <w:b w:val="false"/>
          <w:bCs w:val="false"/>
          <w:i w:val="false"/>
          <w:iCs w:val="false"/>
          <w:sz w:val="24"/>
          <w:szCs w:val="24"/>
        </w:rPr>
        <w:t xml:space="preserve">, Curitiba, n. esp. 4, p. 79-97, 2014. DOI: 10.1590/0104-4060.38645. Disponível em: https://www.scielo.br/j/er/a/GLd4P7sVN8McLBcbdQVyZyG/. Acesso em: 12 jun. 2026.</w:t>
      </w:r>
    </w:p>
    <w:p>
      <w:pPr>
        <w:spacing w:after="240" w:line="240"/>
        <w:jc w:val="left"/>
      </w:pPr>
      <w:r>
        <w:rPr>
          <w:rFonts w:ascii="Times New Roman" w:cs="Times New Roman" w:eastAsia="Times New Roman" w:hAnsi="Times New Roman"/>
          <w:b w:val="false"/>
          <w:bCs w:val="false"/>
          <w:i w:val="false"/>
          <w:iCs w:val="false"/>
          <w:sz w:val="24"/>
          <w:szCs w:val="24"/>
        </w:rPr>
        <w:t xml:space="preserve">WAZLAWICK, Raul Sidnei. </w:t>
      </w:r>
      <w:r>
        <w:rPr>
          <w:rFonts w:ascii="Times New Roman" w:cs="Times New Roman" w:eastAsia="Times New Roman" w:hAnsi="Times New Roman"/>
          <w:b/>
          <w:bCs/>
          <w:i w:val="false"/>
          <w:iCs w:val="false"/>
          <w:sz w:val="24"/>
          <w:szCs w:val="24"/>
        </w:rPr>
        <w:t xml:space="preserve">Metodologia de pesquisa para ciência da computação</w:t>
      </w:r>
      <w:r>
        <w:rPr>
          <w:rFonts w:ascii="Times New Roman" w:cs="Times New Roman" w:eastAsia="Times New Roman" w:hAnsi="Times New Roman"/>
          <w:b w:val="false"/>
          <w:bCs w:val="false"/>
          <w:i w:val="false"/>
          <w:iCs w:val="false"/>
          <w:sz w:val="24"/>
          <w:szCs w:val="24"/>
        </w:rPr>
        <w:t xml:space="preserve">. 2. ed. Rio de Janeiro: Elsevier, 2014.</w:t>
      </w:r>
    </w:p>
    <w:sectPr>
      <w:headerReference w:type="default" r:id="rId8"/>
      <w:pgSz w:w="11906" w:h="16838" w:orient="portrait"/>
      <w:pgMar w:top="1701" w:right="1134" w:bottom="1134" w:left="1701" w:header="708" w:footer="708" w:gutter="0"/>
      <w:pgNumType w:start="5"/>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0"/>
        <w:szCs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60" w:line="36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spacing w:after="360" w:line="360"/>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spacing w:after="360" w:line="360"/>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2026-06-12T03:38:09.384Z</dcterms:created>
  <dcterms:modified xsi:type="dcterms:W3CDTF">2026-06-12T03:38:09.385Z</dcterms:modified>
</cp:coreProperties>
</file>

<file path=docProps/custom.xml><?xml version="1.0" encoding="utf-8"?>
<Properties xmlns="http://schemas.openxmlformats.org/officeDocument/2006/custom-properties" xmlns:vt="http://schemas.openxmlformats.org/officeDocument/2006/docPropsVTypes"/>
</file>