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80" w:before="360" w:line="24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QUADROS – REGRAS DE NEGÓCIO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 – Regras de negócio da área de domínio e produto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informação do viveiro — custo, preço, estoque, perda, pedido — refere-se a uma espécie; a espécie é a unidade em torno da qual a operação se organiza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espécie possui um nome científico e vários nomes populares regionais; a mesma espécie é chamada por nomes diferentes conforme a região e o interlocutor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Uma espécie admite várias características simultâneas — nativa, exótica, frutífera, ornamental, madeireira, forrageira. Uma nativa pode ser ao mesmo tempo frutífera e madeireira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recipiente determina o porte da muda e, por consequência, seu custo e seu preço. Espécie e recipiente formam o par que identifica um produto comercializável: a mesma espécie em dois recipientes são dois produtos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ciclo produtivo — semeadura, germinação, repicagem, rustificação — tem duração conhecida por espécie e recipiente; a data de disponibilidade decorre da data de semeadura somada a essa duração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Só a muda pronta compõe estoque comercializável. Muda em produção não é estoque de venda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2 – Regras de negócio da área de custeio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custo unitário de uma muda é o custo variável (substrato, semente, recipiente, demais insumos e mão de obra) somado ao custo fixo do período rateado sobre a produção, sempre específico por espécie e recipiente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do insumo varia ao longo do tempo, e o custo apurado em um período permanece válido para aquele período — o valor anterior não é descartado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Alteração em insumo, custo fixo ou consumo invalida o custo unitário anterior das espécies afetadas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mão de obra compõe o custo por tempo médio estimado por atividade, e não por apontamento individual de horas — precisão suficiente para revelar margem negativa, sem impor controle de ponto por tarefa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semente coletada em campo tem custo próprio — deslocamento, combustível e horas —, rateado pela quantidade obtida. Nem toda espécie tem semente comprada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gasto pertence ao mês de competência, não ao mês em que o dinheiro saiu: o substrato comprado em fevereiro e pago em abril é custo de fevereiro, porque foi em fevereiro que virou muda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mão de obra entra no custo por um valor-hora médio da equipe — folha do mês dividida pelas horas do mês —, e não pelo salário de cada um. O que varia entre espécies é o tempo gasto, não quem o gastou; e o custo fica real sem expor remuneração individual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tarefa que não se refere a uma espécie é custo indireto e entra no rateio geral, junto dos custos fixos. Limpar canteiro e consertar cerca são trabalho do viveiro inteiro, e atribuí-los a uma espécie qualquer falsearia o custo dela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3 – Regras de negócio da área de produção, estoque e perdas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quantidade disponível de uma espécie é produção registrada menos perdas menos vendas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contagem física prevalece sobre a quantidade calculada: onde os dois divergem, o que vale é o que foi contado no viveiro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Espécie zerada ou abaixo da quantidade mínima compromete o atendimento e precisa ser sinalizada antes que o pedido chegue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perda é evento normal da produção e exige causa classificada em lista fechada — seca, praga, geada, manuseio, outro. Campo livre inviabiliza a análise por causa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mortalidade é a razão entre mudas perdidas e mudas produzidas, por espécie e período. Acima de 20% a situação é anormal e exige providência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muda perdida carrega o custo já incorrido: a perda tem valor financeiro, não apenas quantidade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trabalho do viveiro é planejado por turno, não por horário: a unidade da agenda é dia × turno (manhã, tarde), e um turno vale quatro horas. Ninguém ali trabalha com hora marcada, e exigir horário exato garantiria agenda não preenchida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semana do viveiro repete a anterior: replanejar do zero é a exceção, copiar e ajustar é a regra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semana fecha e, fechada, não se altera — sem isso o custo do período muda depois de apurado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Tarefa planejada e não confirmada conta como realizada ao fechar a semana, com a condição registrada. Agenda com buraco não serve para calcular custo, e assumir o planejado sinalizando a dúvida é mais honesto do que não ter dado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colaborador responde pelas suas tarefas: vê e conclui as que lhe foram atribuídas, e nenhuma outra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Só semeadura e repicagem somam ao estoque; irrigação, adubação e rustificação são manejo e não alteram quantidade. É o que define o que conta como produção em RN-13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4 – Regras de negócio da área de precificação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de venda é custo unitário real mais a margem do canal — nunca estimativa intuitiva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canal de venda é lista fechada de cinco — atacado (padrão), compensação ambiental, paisagismo, prefeitura, varejo — e determina a margem. O mesmo produto tem preços diferentes por canal, e isso é regra, não exceção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Nenhuma venda ocorre abaixo do piso mínimo de segurança, independentemente da negociação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piso mínimo varia por canal e por espécie — não é constante única do sistema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frete é calculado por R$/km e incorporado ao preço, não cobrado à parte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Margem negativa é venda com prejuízo e precisa ser detectada e destacada — hoje ela ocorre sem que ninguém perceba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vale por um período, e a margem de uma venda se afere contra o custo vigente no dia em que ela foi feita — sobrescrever o custo apagaria a resposta para "qual era a margem quando eu vendi"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calculado é sugestão: o valor acordado pode diferir dele, desde que não desça abaixo do piso. A negociação por WhatsApp existe, e tratar o preço como imposto falsearia o que de fato se cobrou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5 – Regras de negócio da área de cliente e obrigação fiscal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cliente é pessoa física ou jurídica; a venda com nota fiscal exige o conjunto fiscal completo e documento válido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negociação nasce no WhatsApp e o cliente frequentemente é novo: nome e telefone bastam para registrar o pedido, sem interromper a venda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contraparte do viveiro é uma identidade única — quem compra, quem vende, quem trabalha, o sócio, o banco, o governo, o contador —, e o vínculo com o viveiro é papel acumulável dessa identidade, escolhido em lista fechada. A mesma pessoa pode ser cliente e fornecedor; a identidade é uma só, os papéis é que são múltiplos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nota fiscal é emitida em sistema externo. O viveiro registra a exigência e o número; a emissão não pertence a este sistema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venda para compensação ambiental exige o nome científico da espécie e, em geral, nota fiscal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 pessoal de cliente é tratado sob a Lei nº 13.709/2018, com finalidade, base legal e prazo de retenção declarados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Funcionário é vínculo de trabalho, não acesso ao sistema: o diarista que aparece duas semanas por ano existe na agenda e no custo sem nunca abrir o aplicativo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tipo de tarefa é vocabulário fechado, e carrega o tempo médio por unidade — é ele que liga a atividade de campo ao custo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pessoa que se opõe ao contato comercial fica fora de qualquer cotação ou abordagem, e essa oposição é registro permanente, não estado operacional que se desfaz sozinho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Declarar que dois cadastros são a mesma pessoa é decisão de quem conhece as pessoas: coincidência de nome ou de documento levanta a pergunta, não a conclui. A ambiguidade é aceita, não resolvida automaticamente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Uma pessoa tem mais de um endereço, e o de entrega pode não ser o de cobrança. É o endereço de entrega que responde pela distância, e portanto pelo frete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6 – Regras de negócio da área de pedido, entrega e fornecedor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pedido percorre uma sequência de estados até a entrega, e cada transição tem um responsável — quem conclui uma etapa aciona a seguinte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cliente pode comprar quantidade e porte sem definir espécie (item genérico): "500 mudas nativas" é pedido válido, e a escolha das espécies cabe ao viveiro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item genérico, o cliente pode restringir a lista de espécies aceitas e declarar especificação de qualidade; espécie fora da lista não atende o item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disponibilidade parcial é atendimento válido: parte da quantidade pedida é resultado real da operação, e tratá-la como indisponibilidade falseia o pedido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Pode-se ofertar recipiente diferente do solicitado, desde que registrado qual foi efetivamente ofertado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só se firma com a aprovação da chefia; nenhum pedido avança ao fechamento sem ela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carga é gerada a partir dos itens aprovados e separada fisicamente em campo; é ela, e não o pedido, a unidade que sai do viveiro. Um pedido pode gerar mais de uma carga, e a entrega da última não fecha o ciclo por si só — ver RN-63 e RN-70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Quando a produção própria não atende o pedido, completa-se com muda de fornecedor, mediante cotação comparável entre propostas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revenda de muda de terceiro também respeita o piso mínimo — o custo de aquisição substitui o custo de produção, a regra do piso permanece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 carga é uma viagem, com data própria. Cargas de um mesmo pedido saem em dias diferentes, e a data do pedido é referência, não a data de cada carga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item genérico, o recipiente informado é o mínimo aceitável: atende-se com porte igual ou maior, nunca menor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fornecedor que não responde deixa de ser consultado — a confiabilidade se mede pela taxa de resposta, e a cotação deixa de ser disparo cego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carregamento acontece no dia útil anterior à entrega: o caminhão é carregado na véspera, e é isso que define o prazo real da separação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Item ainda não verificado e item indisponível são situações opostas, não a mesma: "não tem" e "ninguém olhou ainda" pedem providências diferentes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7 – Regras de negócio da área financeira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extrato bancário é a fonte da verdade do financeiro: gasto que não passou por conta alguma não existe para o sistema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centro de custo separa gasto de negócio de gasto pessoal da família — lista fechada de cinco: viveiro, sítio, clínica, casa, floricultura. A separação é pré-requisito de qualquer indicador confiável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Lançamento equivalente a outro já classificado recebe a mesma classificação — o gasto recorrente não se reclassifica todo mês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fechamento do mês confere o saldo calculado contra o saldo do extrato e trava o período; indicador financeiro só se calcula sobre mês fechado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base bancária é assunto exclusivo da chefia — decorrência direta de ela misturar gasto de negócio e gasto pessoal. O que dela deriva e não a expõe — custo, margem, preço, indicador — segue em leitura para a gerência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Transferência entre contas do próprio viveiro não é despesa nem receita — sem pareá-las, o mesmo dinheiro conta duas vezes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 mesmo gasto pode servir a mais de um centro de custo e então se reparte entre eles; a soma das partes é o valor total. A energia do imóvel que abriga casa e clínica não pertence a um centro só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Pedido entregue não é pedido pago: o recebimento é evento próprio, e só o extrato o comprova. O ciclo comercial e o ciclo do dinheiro fecham em momentos diferentes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8 – Regras de negócio das áreas de acesso, responsabilidade e indicadores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 pessoa tem um perfil — chefia, gerência, colaborador, administrador — que determina o que ela vê e o que pode fazer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 registro tem autor identificado: quem registrou a produção, a perda, a separação ou a mudança de estado responde pelo registro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Indicador sem comparação com o período anterior e sem meta não orienta decisão, e cada perfil acompanha os indicadores da sua responsabilidade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9 – Distribuição das regras de negócio por área do domínio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4000"/>
        <w:gridCol w:w="3071"/>
        <w:gridCol w:w="2000"/>
      </w:tblGrid>
      <w:tr>
        <w:trPr>
          <w:cantSplit/>
          <w:tblHeader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Área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Regras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A: Domínio e produto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 a RN-06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B: Custeio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 a RN-12, RN-53, RN-56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C: Produção, estoque e perdas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 a RN-18, RN-48 a RN-52, RN-57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D: Precificação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 a RN-24, RN-58, RN-59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E: Cliente e obrigação fiscal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 a RN-30, RN-54, RN-55, RN-60 a RN-62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F: Pedido, entrega e fornecedor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 a RN-39, RN-63 a RN-67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G: Financeiro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RN-40 a RN-44, RN-68 a RN-70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H: Acesso e responsabilidade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I: Indicadores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70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pStyle w:val="Heading1"/>
        <w:spacing w:after="180" w:before="360" w:line="24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QUADROS – REQUISITOS E VÍNCULO COM AS REGRAS DE NEGÓCIO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10 – Requisitos funcionais e as regras de negócio que os originam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4571"/>
        <w:gridCol w:w="1500"/>
      </w:tblGrid>
      <w:tr>
        <w:trPr>
          <w:cantSplit/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 RN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Autenticação de usuário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autenticar o usuário por identificador e senha antes de conceder qualquer acesso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Troca de senha no primeiro acesso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exigir troca de senha no primeiro acesso do usuário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Encerramento de sessão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usuário encerrar sua sessão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tentativas de acesso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registrar cada tentativa de autenticação com data, origem e dispositivo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usuários e perfis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administrador criar usuários e atribuir perfil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de permissão por operação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verificar a permissão do perfil a cada operação, e não apenas ocultar elementos da interface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sessões ativas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permitir ao usuário visualizar e encerrar suas sessões ativas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espécie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espécie com nome científico, nomes populares, características, tempo de germinação, tempo de produção e fotografia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RN-02, RN-03, RN-05,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de espécie por 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localizar a espécie por qualquer um de seus nomes populares ou pelo nome científico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RN-02, RN-03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recipiente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recipientes com volume e consumo de substrato por unidade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insumo com histórico de preços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insumos com unidade de medida e custo, preservando o histórico de preços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custo fixo mensal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custos fixos mensais por categoria e mês de referência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coleta de sementes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coleta de sementes com região, distância, combustível, horas e quantidade obtida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consumo de insumo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registrar, em campo, o consumo de insumo indicando insumo, espécie, recipiente e quantidade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do custo variável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o custo variável de cada combinação de espécie e recipiente, somando substrato, semente, recipiente, demais insumos e mão de obra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RN-07, RN-10, RN-11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Rateio do custo fixo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ratear o custo fixo mensal sobre a produção do período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RN-12, RN-56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do custo unitário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o custo unitário por espécie e recipiente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RN-19, RN-58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Recálculo do custo unitário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recalcular o custo unitário quando houver alteração em insumo, custo fixo ou consumo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RN-08, RN-09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atividade de produção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atividade de produção — semeadura, repicagem, irrigação, adubação — com espécie, recipiente e quantidade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RN-04, RN-05, RN-10, RN-13, RN-57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Atribuição de atividades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à gerência atribuir atividades de produção a colaboradores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RN-10,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Acompanhamento do ciclo produtivo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o acompanhamento do ciclo produtivo por espécie, com previsão de disponibilidade a partir do tempo de produção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RN-05, RN-06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de estoque disponível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 quantidade disponível por espécie e recipiente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RN-06, RN-13, RN-57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contagem física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contagem física de estoque, com a quantidade contada substituindo a calculada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Alerta de estoque mínimo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espécies zeradas ou abaixo da quantidade mínima definida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de contagens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manter o histórico de contagens por espécie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perda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perda com espécie, recipiente, quantidade e causa selecionada em lista fechada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RN-04, RN-16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de perdas por período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listar as perdas registradas com filtro por período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RN-16, 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da taxa de mortalidade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a taxa de mortalidade por espécie e período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Alerta de mortalidade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emitir alerta para espécie cuja mortalidade ultrapasse 20%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Relatório de perdas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relatório consolidado de perdas com estimativa de impacto financeiro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Definição de margem por canal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definir a margem aplicada a cada canal de venda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RN-19, RN-20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do preço sugerido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o preço sugerido somando ao custo unitário a margem do canal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RN-19, RN-59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Bloqueio de preço abaixo do piso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impedir que o preço praticado fique abaixo do piso mínimo de segurança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RN-21, RN-22, RN-39, RN-59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Incorporação do frete ao preço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incorporar o frete ao preço, calculado por valor por quilômetro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RN-23, RN-62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Relatório de custo e preço praticado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relatório comparando custo e preço praticado, destacando margens negativas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RN-24, RN-58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rápido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cadastro rápido de cliente com nome e telefone, sem sair da tela de pedido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fiscal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cadastro completo de cliente com dados fiscais de pessoa física ou jurídica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RN-30, RN-60, RN-62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Validação de CPF e CNPJ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validar CPF e CNPJ informados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localizar cliente por nome, telefone ou documento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RN-26, RN-27, RN-61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Sinalização de cadastro fiscal incompleto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cadastro fiscal incompleto quando o pedido exigir nota fiscal, permitindo completá-lo no próprio fluxo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pedido com cliente, canal de venda e itens compostos por espécie, recipiente e quantidade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RN-20, RN-31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de disponibilidade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verificar a disponibilidade de cada item do pedido contra o estoque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RN-06, RN-13, RN-34, RN-67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disponibilidade parcial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representar disponibilidade parcial, registrando a quantidade efetivamente disponível quando menor que a pedida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RN-34, RN-67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Aprovação de preço pela chefia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exigir aprovação da chefia sobre o preço antes do fechamento do pedido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RN-21, RN-36, RN-59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exigência de nota fiscal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registrar se o pedido exige nota fiscal e, quando emitida em sistema externo, o número correspondente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Geração da carga de separação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gerar a carga de separação a partir dos itens aprovados do pedido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RN-37, RN-63, RN-66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separação física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colaborador registrar a separação física item a item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de estados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manter o histórico das mudanças de estado do pedido, com autor e momento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Notificação de transição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notificar o responsável pela etapa seguinte a cada transição relevante do pedido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Agenda de entregas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a agenda de entregas com as cargas prontas e seus destinos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RN-37, RN-63, RN-66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Confirmação de entrega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confirmar a entrega da carga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RN-13, RN-31, RN-37, RN-63, RN-70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fornecedor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fornecedor com contato, localização e espécies que fornece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RN-27, RN-38, RN-65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cotação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cotação dirigida a um ou mais fornecedores, com espécie, recipiente e quantidade por item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RN-38, RN-65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Comparação de propostas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comparar as propostas recebidas e registrar a escolhida por item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RN-38, RN-39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Mapa de fornecedores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poderia apresentar os fornecedores em mapa, com a distância até o viveiro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RN-23, RN-38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Importação de extrato bancário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importar o extrato bancário de cada conta, sem digitação de lançamentos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RN-40, RN-70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Classificação de lançamento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classificar cada lançamento indicando centro de custo, categoria e contraparte, todos em lista fechada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RN-27, RN-40, RN-41, RN-68, RN-69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Classificação automática recorrente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aplicar automaticamente a classificação já atribuída anteriormente a lançamentos equivalentes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data de competência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informar data de competência distinta da data de movimentação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Fechamento mensal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fechar o mês após conferência do saldo calculado contra o saldo do extrato, travando o período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de indicador a mês fechado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não deve apresentar indicador financeiro calculado sobre mês ainda não fechado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de acesso ao financeiro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restringir a base bancária — extratos, lançamentos, compras, custos fixos e fechamento — aos perfis chefia e administrador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RN-41, RN-44, 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Painel de indicadores por perfil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painel de indicadores com o conteúdo correspondente ao perfil do usuário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Comparação do indicador com período anterior e meta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cada indicador comparado ao período anterior e à meta definida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RN-24, RN-43,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Sinalização visual do indicador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visualmente se o valor do indicador é favorável ou desfavorável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item genérico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item genérico — quantidade e recipiente sem espécie definida —, atendido posteriormente por uma ou mais espécies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RN-32, RN-64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Delimitação de espécies aceitas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delimitar, no item genérico, a lista de espécies aceitas pelo cliente e a especificação de qualidade exigida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RN-33, RN-64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Oferta de recipiente alternativo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permitir, na verificação de disponibilidade, oferecer recipiente diferente do solicitado, registrando qual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RN-35, RN-64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funcionário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funcionário com contato e vínculo — fixo ou diarista —, inclusive quando ele não tem acesso ao sistema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RN-27, RN-54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Catálogo de tipos de tarefa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manter o catálogo de tipos de tarefa, com unidade de medida, tempo médio por unidade e quais tipos exigem espécie e recipiente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Montagem da agenda da semana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montar a agenda da semana atribuindo, por funcionário e por dia, o tipo de tarefa e o turno — manhã ou tarde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Cópia da semana e tarefas recorrentes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copiar a agenda da semana anterior e marcar tarefas como recorrentes, que passam a nascer preenchidas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Situação da semana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controlar a situação da semana — rascunho, publicada e fechada — e impedir alteração depois do fechamento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Conclusão de tarefa pelo colaborador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ao colaborador apenas as tarefas atribuídas a ele no dia, e permitir concluí-las informando somente a quantidade realizada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Fechamento de tarefa não confirmada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assumir como realizada, ao fechar a semana, a tarefa planejada que não foi confirmada, registrando essa condição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Apuração do custo de mão de obra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apurar o custo de mão de obra por espécie e período, a partir das horas da agenda e de um valor-hora médio do período, e incorporá-lo ao custo unitário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RN-48, RN-53, RN-56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11 – Requisitos não funcionais e as regras de negócio relacionadas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4571"/>
        <w:gridCol w:w="1500"/>
      </w:tblGrid>
      <w:tr>
        <w:trPr>
          <w:cantSplit/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 RN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Limite de campos por tela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Formulários de campo devem apresentar no máximo cinco campos por tela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RN-10, RN-16, RN-26, RN-37, RN-48, RN-49, RN-52, RN-55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Lista fechada em campos de categoria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Campos de categoria devem oferecer lista fechada de opções, nunca entrada livre de texto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RN-03, RN-16, RN-20, RN-27, RN-41, RN-52, RN-57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Alvo de toque adequado ao campo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Elementos acionáveis devem ter alvo de toque compatível com uso de dedos sujos e molhados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Confirmação visual de gravação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ação de gravação deve produzir resposta visual imediata de confirmação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Operação sem conexão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registro de dados em campo deve funcionar sem conexão, com envio automático ao restabelecer a rede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RN-13, RN-16, RN-37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Concepção para celular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interface deve ser concebida para uso em celular, e não adaptada a partir de tela de computador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Desempenho sob conexão lenta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permanecer utilizável sob conexão móvel lenta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Vocabulário da empresa na interface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interface deve empregar o vocabulário da empresa, conforme o glossário, e não termos técnicos do sistema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Cifragem de senhas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Senhas devem ser armazenadas de forma cifrada, por técnica que impeça sua recuperação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Proteção do identificador de sessão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Identificadores de sessão devem ser armazenados apenas em formato protegido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Marcações de segurança em cookies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Cookies de sessão devem receber as marcações de segurança que restringem seu uso a comunicação cifrada e impedem leitura por código do navegador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Controle de acesso no servidor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regras de acesso aos dados devem ser executadas no servidor, nunca no navegador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RN-44, RN-45, RN-53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Cifragem em trânsito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comunicação entre cliente e servidor deve ser cifrada em trânsito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Backup e recuperação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dispor de rotina de backup e procedimento de recuperação com objetivos declarados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Idioma de código e documentação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Arquivos, identificadores e estruturas de dados devem ser nomeados em inglês; a documentação, em português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Ramificação por funcionalidade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 funcionalidade deve ser desenvolvida em ramificação própria e integrada por solicitação de incorporação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Proteção da versão principal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Alteração direta na versão principal deve ser impedida por controle automático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Padrão de mensagem de alteração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Mensagens de alteração devem seguir padrão fixo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Versionamento do banco de dados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Alterações na estrutura do banco devem ser versionadas em arquivos aplicados de forma controlada, preservando compatibilidade retroativa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automatizados obrigatórios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alteração de código deve incluir testes automatizados cobrindo utilitários, regras de negócio e validações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automática antes do envio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automática executada antes de cada alteração deve bloquear o envio em caso de arquivo sensível, falha de teste ou desvio de padronização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versionamento de credenciais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Credenciais, chaves e dados sensíveis não devem ser versionados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Conformidade com a proteção de dados pessoais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tratamento de dados pessoais deve observar a Lei nº 13.709/2018, com finalidade, base legal e prazo de retenção declarados para cada dado coletado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RN-30, RN-60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Dados cadastrais suficientes para nota fiscal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Os dados cadastrais de cliente devem comportar o conjunto exigido para emissão de nota fiscal no sistema externo em uso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RN-28, RN-62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Disponibilidade do nome científico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nome científico da espécie deve estar disponível para atender exigências de projetos de compensação ambiental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Acesso por navegador de celular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operar em navegador de celular de uso corrente pela equipe, sem exigir instalação a partir de loja de aplicativos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12 – Restrições do projeto e os requisitos não funcionais que originam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300"/>
        <w:gridCol w:w="3271"/>
        <w:gridCol w:w="2000"/>
        <w:gridCol w:w="2500"/>
      </w:tblGrid>
      <w:tr>
        <w:trPr>
          <w:cantSplit/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Origem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originados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RE-1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Usuários sem formação técnica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Perfil da equipe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RNF-01, RNF-02, RNF-08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RE-2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Celular como dispositivo principal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Contexto de campo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RNF-06, RNF-26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RE-3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Conexão instável no viveiro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Ambiente físico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RNF-05, RNF-07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RE-4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Uso com as mãos sujas, sob sol e chuva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Ambiente físico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RNF-03, RNF-04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RE-5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Orçamento de microempresa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Porte da organização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RNF-14, RNF-26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RE-6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Prazo até novembro de 2026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Calendário acadêmico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Afeta o escopo, não os requisitos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RE-7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 financeira mistura gasto de negócio e gasto pessoal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da empresa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 RN-41 e RN-44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RE-8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Dados pessoais sujeitos à legislação de proteção de dados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Legal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 RN-30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13 – Síntese da origem dos requisitos do sistema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3071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07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Origem</w:t>
            </w:r>
          </w:p>
        </w:tc>
        <w:tc>
          <w:tcPr>
            <w:tcW w:type="dxa" w:w="30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funcionais</w:t>
            </w:r>
          </w:p>
        </w:tc>
        <w:tc>
          <w:tcPr>
            <w:tcW w:type="dxa" w:w="30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não funcionais</w:t>
            </w:r>
          </w:p>
        </w:tc>
      </w:tr>
      <w:tr>
        <w:trPr>
          <w:cantSplit/>
          <w:tblHeader/>
        </w:trPr>
        <w:tc>
          <w:tcPr>
            <w:tcW w:type="dxa" w:w="307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Qtd.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Qtd.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Regra de negócio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96,1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11,5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do ambiente (RE-1 a RE-5)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38,5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Política do projeto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50,0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100,0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100,0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after="0" w:line="240"/>
      </w:pPr>
    </w:pPrDefault>
  </w:docDefaults>
  <w:style w:type="paragraph" w:styleId="Normal" w:default="1">
    <w:name w:val="Normal"/>
    <w:qFormat/>
  </w:style>
  <w:style w:type="paragraph" w:styleId="Heading1">
    <w:name w:val="heading 1"/>
    <w:basedOn w:val="Normal"/>
    <w:qFormat/>
    <w:pPr>
      <w:outlineLvl w:val="0"/>
    </w:pPr>
    <w:rPr>
      <w:rFonts w:ascii="Arial" w:cs="Arial" w:eastAsia="Arial" w:hAnsi="Arial"/>
      <w:b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Quadros de regras de negócio e requisitos</dc:title>
  <dc:creator>Viveiro Mudar</dc:creator>
  <cp:lastModifiedBy>scripts/build-quadros-docx.mjs</cp:lastModifiedBy>
  <dcterms:created xsi:type="dcterms:W3CDTF">2026-01-01T00:00:00Z</dcterms:created>
  <dcterms:modified xsi:type="dcterms:W3CDTF">2026-01-01T00:00:00Z</dcterms:modified>
</cp:coreProperties>
</file>