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espécie; a espécie é a unidade em torno da qual a operação se organiza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regionais; a mesma espécie é chamada por nomes diferentes conforme a região e o interlocutor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simultâneas: nativa, exótica, frutífera, ornamental, madeireira, forrageira. Uma nativa pode ser ao mesmo tempo frutífera e madeireira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comercializável: a mesma espécie em dois recipientes são dois produtos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recipiente; a data de disponibilidade decorre da data de semeadura somada a essa duração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período: o valor anterior não é descartado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horas, com precisão suficiente para revelar margem negativa, sem impor controle de ponto por tarefa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 Nem toda espécie tem semente comprada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saiu: o substrato comprado em fevereiro e pago em abril é custo de fevereiro, porque foi em fevereiro que virou muda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calculada: onde os dois divergem, o que vale é o que foi contado no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compromete o atendimento e precisa ser sinalizada antes que o pedido chegue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fechada: seca, praga, geada, manuseio, outro. Campo livre inviabiliza a análise por causa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incorrido: a perda tem valor financeiro, não apenas quantidade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 (atacado, que é o padrão, compensação ambiental, paisagismo, prefeitura e varejo) e determina a margem. O mesmo produto tem preços diferentes por canal, e isso é regra, não exceção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espécie: não é constante única do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destacada; hoje ela ocorre sem que ninguém perceba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jurídica; a venda com nota fiscal exige o conjunto fiscal completo e documento válido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negociação nasce no WhatsApp e o cliente frequentemente é novo: nome e telefone bastam para registrar o pedido, sem interromper a venda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mesma pessoa pode ser cliente e fornecedor: a identidade da pessoa é única, os papéis é que são múltiplos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número; a emissão não pertence a este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responsável: quem conclui uma etapa aciona a seguinte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genérico): 500 mudas nativas é pedido válido, e a escolha das espécies cabe ao viveiro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qualidade; espécie fora da lista não atende o item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válido: parte da quantidade pedida é resultado real da operação, e tratá-la como indisponibilidade falseia o pedido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só se firma com a aprovação da chefia; nenhum pedido avança ao fechamento sem ela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aprovados, separada fisicamente em campo e, uma vez entregue, encerra o pedido. Um pedido pode gerar mais de uma carga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mínimo: o custo de aquisição substitui o custo de produção, a regra do piso permanece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financeiro: gasto que não passou por conta alguma não existe para o sistema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centro de custo separa gasto de negócio de gasto pessoal da família, em lista fechada de cinco: viveiro, sítio, clínica, casa e floricultura. A separação é pré-requisito de qualquer indicador confiável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classificação: o gasto recorrente não se reclassifica todo mês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período; indicador financeiro só se calcula sobre mês fechado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financeiro é assunto exclusivo da chefia, decorrência direta de a base misturar gasto de negócio e gasto pessoal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identificado: quem registrou a produção, a perda, a separação ou a mudança de estado responde pelo registro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decisão, e cada perfil acompanha os indicadores da sua responsabilidade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 e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47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pageBreakBefore/>
      </w:pPr>
    </w:p>
    <w:p>
      <w:pPr>
        <w:pStyle w:val="Heading1"/>
        <w:spacing w:after="18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RN-36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em lista fechada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RN-41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todo o subsistema financeiro aos perfis chefia e administrador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4471"/>
        <w:gridCol w:w="1500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RN-41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inglês; a documentação, em português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4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95,6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2026-08-17T22:55:21.574Z</dcterms:created>
  <dcterms:modified xsi:type="dcterms:W3CDTF">2026-08-17T22:55:21.585Z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