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80" w:before="360" w:line="24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QUADROS – REGRAS DE NEGÓCIO</w:t>
      </w:r>
    </w:p>
    <w:p>
      <w:pPr>
        <w:spacing w:after="60" w:before="240" w:line="24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Quadro 1 – Regras de negócio da área de domínio e produto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200"/>
        <w:gridCol w:w="7871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RN-01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 informação do viveiro — custo, preço, estoque, perda, pedido — refere-se a uma espécie; a espécie é a unidade em torno da qual a operação se organiza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RN-02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espécie possui um nome científico e vários nomes populares regionais; a mesma espécie é chamada por nomes diferentes conforme a região e o interlocutor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RN-03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Uma espécie admite várias características simultâneas — nativa, exótica, frutífera, ornamental, madeireira, forrageira. Uma nativa pode ser ao mesmo tempo frutífera e madeireira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RN-04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recipiente determina o porte da muda e, por consequência, seu custo e seu preço. Espécie e recipiente formam o par que identifica um produto comercializável: a mesma espécie em dois recipientes são dois produtos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RN-05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ciclo produtivo — semeadura, germinação, repicagem, rustificação — tem duração conhecida por espécie e recipiente; a data de disponibilidade decorre da data de semeadura somada a essa duração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RN-06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Só a muda pronta compõe estoque comercializável. Muda em produção não é estoque de venda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Elaborado pelo autor (2026).</w:t>
      </w:r>
    </w:p>
    <w:p>
      <w:pPr>
        <w:spacing w:after="60" w:before="240" w:line="24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Quadro 2 – Regras de negócio da área de custeio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200"/>
        <w:gridCol w:w="7871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RN-07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custo unitário de uma muda é o custo variável (substrato, semente, recipiente, demais insumos e mão de obra) somado ao custo fixo do período rateado sobre a produção, sempre específico por espécie e recipiente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RN-08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preço do insumo varia ao longo do tempo, e o custo apurado em um período permanece válido para aquele período — o valor anterior não é descartado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RN-09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Alteração em insumo, custo fixo ou consumo invalida o custo unitário anterior das espécies afetadas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RN-10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mão de obra compõe o custo por tempo médio estimado por atividade, e não por apontamento individual de horas — precisão suficiente para revelar margem negativa, sem impor controle de ponto por tarefa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RN-11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semente coletada em campo tem custo próprio — deslocamento, combustível e horas —, rateado pela quantidade obtida. Nem toda espécie tem semente comprada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RN-12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gasto pertence ao mês de competência, não ao mês em que o dinheiro saiu: o substrato comprado em fevereiro e pago em abril é custo de fevereiro, porque foi em fevereiro que virou muda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RN-53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mão de obra entra no custo por um valor-hora médio da equipe — folha do mês dividida pelas horas do mês —, e não pelo salário de cada um. O que varia entre espécies é o tempo gasto, não quem o gastou; e o custo fica real sem expor remuneração individual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RN-56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tarefa que não se refere a uma espécie é custo indireto e entra no rateio geral, junto dos custos fixos. Limpar canteiro e consertar cerca são trabalho do viveiro inteiro, e atribuí-los a uma espécie qualquer falsearia o custo dela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Elaborado pelo autor (2026).</w:t>
      </w:r>
    </w:p>
    <w:p>
      <w:pPr>
        <w:spacing w:after="60" w:before="240" w:line="24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Quadro 3 – Regras de negócio da área de produção, estoque e perdas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200"/>
        <w:gridCol w:w="7871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RN-13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quantidade disponível de uma espécie é produção registrada menos perdas menos vendas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RN-14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contagem física prevalece sobre a quantidade calculada: onde os dois divergem, o que vale é o que foi contado no viveiro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RN-15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Espécie zerada ou abaixo da quantidade mínima compromete o atendimento e precisa ser sinalizada antes que o pedido chegue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RN-16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perda é evento normal da produção e exige causa classificada em lista fechada — seca, praga, geada, manuseio, outro. Campo livre inviabiliza a análise por causa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RN-17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mortalidade é a razão entre mudas perdidas e mudas produzidas, por espécie e período. Acima de 20% a situação é anormal e exige providência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RN-18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muda perdida carrega o custo já incorrido: a perda tem valor financeiro, não apenas quantidade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RN-48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trabalho do viveiro é planejado por turno, não por horário: a unidade da agenda é dia × turno (manhã, tarde), e um turno vale quatro horas. Ninguém ali trabalha com hora marcada, e exigir horário exato garantiria agenda não preenchida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RN-49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semana do viveiro repete a anterior: replanejar do zero é a exceção, copiar e ajustar é a regra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RN-50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semana fecha e, fechada, não se altera — sem isso o custo do período muda depois de apurado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RN-51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Tarefa planejada e não confirmada conta como realizada ao fechar a semana, com a condição registrada. Agenda com buraco não serve para calcular custo, e assumir o planejado sinalizando a dúvida é mais honesto do que não ter dado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RN-52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colaborador responde pelas suas tarefas: vê e conclui as que lhe foram atribuídas, e nenhuma outra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RN-57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Só semeadura e repicagem somam ao estoque; irrigação, adubação e rustificação são manejo e não alteram quantidade. É o que define o que conta como produção em RN-13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Elaborado pelo autor (2026).</w:t>
      </w:r>
    </w:p>
    <w:p>
      <w:pPr>
        <w:spacing w:after="60" w:before="240" w:line="24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Quadro 4 – Regras de negócio da área de precificação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200"/>
        <w:gridCol w:w="7871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RN-19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preço de venda é custo unitário real mais a margem do canal — nunca estimativa intuitiva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RN-20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canal de venda é lista fechada de cinco — atacado (padrão), compensação ambiental, paisagismo, prefeitura, varejo — e determina a margem. O mesmo produto tem preços diferentes por canal, e isso é regra, não exceção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RN-21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Nenhuma venda ocorre abaixo do piso mínimo de segurança, independentemente da negociação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RN-22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piso mínimo varia por canal e por espécie — não é constante única do sistema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RN-23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frete é calculado por R$/km e incorporado ao preço, não cobrado à parte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RN-24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Margem negativa é venda com prejuízo e precisa ser detectada e destacada — hoje ela ocorre sem que ninguém perceba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RN-58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preço vale por um período, e a margem de uma venda se afere contra o custo vigente no dia em que ela foi feita — sobrescrever o custo apagaria a resposta para "qual era a margem quando eu vendi"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RN-59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preço calculado é sugestão: o valor acordado pode diferir dele, desde que não desça abaixo do piso. A negociação por WhatsApp existe, e tratar o preço como imposto falsearia o que de fato se cobrou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Elaborado pelo autor (2026).</w:t>
      </w:r>
    </w:p>
    <w:p>
      <w:pPr>
        <w:spacing w:after="60" w:before="240" w:line="24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Quadro 5 – Regras de negócio da área de cliente e obrigação fiscal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200"/>
        <w:gridCol w:w="7871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RN-25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cliente é pessoa física ou jurídica; a venda com nota fiscal exige o conjunto fiscal completo e documento válido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RN-26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negociação nasce no WhatsApp e o cliente frequentemente é novo: nome e telefone bastam para registrar o pedido, sem interromper a venda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RN-27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 contraparte do viveiro é uma identidade única — quem compra, quem vende, quem trabalha, o sócio, o banco, o governo, o contador —, e o vínculo com o viveiro é papel acumulável dessa identidade, escolhido em lista fechada. A mesma pessoa pode ser cliente e fornecedor; a identidade é uma só, os papéis é que são múltiplos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RN-28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nota fiscal é emitida em sistema externo. O viveiro registra a exigência e o número; a emissão não pertence a este sistema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RN-29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venda para compensação ambiental exige o nome científico da espécie e, em geral, nota fiscal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RN-30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 pessoal de cliente é tratado sob a Lei nº 13.709/2018, com finalidade, base legal e prazo de retenção declarados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RN-54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Funcionário é vínculo de trabalho, não acesso ao sistema: o diarista que aparece duas semanas por ano existe na agenda e no custo sem nunca abrir o aplicativo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RN-55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tipo de tarefa é vocabulário fechado, e carrega o tempo médio por unidade — é ele que liga a atividade de campo ao custo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RN-60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pessoa que se opõe ao contato comercial fica fora de qualquer cotação ou abordagem, e essa oposição é registro permanente, não estado operacional que se desfaz sozinho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RN-61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Declarar que dois cadastros são a mesma pessoa é decisão de quem conhece as pessoas: coincidência de nome ou de documento levanta a pergunta, não a conclui. A ambiguidade é aceita, não resolvida automaticamente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RN-62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Uma pessoa tem mais de um endereço, e o de entrega pode não ser o de cobrança. É o endereço de entrega que responde pela distância, e portanto pelo frete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Elaborado pelo autor (2026).</w:t>
      </w:r>
    </w:p>
    <w:p>
      <w:pPr>
        <w:spacing w:after="60" w:before="240" w:line="24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Quadro 6 – Regras de negócio da área de pedido, entrega e fornecedor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200"/>
        <w:gridCol w:w="7871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RN-31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pedido percorre uma sequência de estados até a entrega, e cada transição tem um responsável — quem conclui uma etapa aciona a seguinte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RN-32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cliente pode comprar quantidade e porte sem definir espécie (item genérico): "500 mudas nativas" é pedido válido, e a escolha das espécies cabe ao viveiro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RN-33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item genérico, o cliente pode restringir a lista de espécies aceitas e declarar especificação de qualidade; espécie fora da lista não atende o item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RN-34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disponibilidade parcial é atendimento válido: parte da quantidade pedida é resultado real da operação, e tratá-la como indisponibilidade falseia o pedido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RN-35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Pode-se ofertar recipiente diferente do solicitado, desde que registrado qual foi efetivamente ofertado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RN-36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preço só se firma com a aprovação da chefia; nenhum pedido avança ao fechamento sem ela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RN-37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carga é gerada a partir dos itens aprovados e separada fisicamente em campo; é ela, e não o pedido, a unidade que sai do viveiro. Um pedido pode gerar mais de uma carga, e a entrega da última não fecha o ciclo por si só — ver RN-63 e RN-70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RN-38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Quando a produção própria não atende o pedido, completa-se com muda de fornecedor, mediante cotação comparável entre propostas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RN-39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revenda de muda de terceiro também respeita o piso mínimo — o custo de aquisição substitui o custo de produção, a regra do piso permanece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RN-63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 carga é uma viagem, com data própria. Cargas de um mesmo pedido saem em dias diferentes, e a data do pedido é referência, não a data de cada carga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RN-64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item genérico, o recipiente informado é o mínimo aceitável: atende-se com porte igual ou maior, nunca menor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RN-65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fornecedor que não responde deixa de ser consultado — a confiabilidade se mede pela taxa de resposta, e a cotação deixa de ser disparo cego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RN-66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carregamento acontece no dia útil anterior à entrega: o caminhão é carregado na véspera, e é isso que define o prazo real da separação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RN-67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ainda não verificado e item indisponível são situações opostas, não a mesma: "não tem" e "ninguém olhou ainda" pedem providências diferentes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Elaborado pelo autor (2026).</w:t>
      </w:r>
    </w:p>
    <w:p>
      <w:pPr>
        <w:spacing w:after="60" w:before="240" w:line="24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Quadro 7 – Regras de negócio da área financeira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200"/>
        <w:gridCol w:w="7871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RN-40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extrato bancário é a fonte da verdade do financeiro: gasto que não passou por conta alguma não existe para o sistema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RN-41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centro de custo separa gasto de negócio de gasto pessoal da família — lista fechada de cinco: viveiro, sítio, clínica, casa, floricultura. A separação é pré-requisito de qualquer indicador confiável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RN-42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Lançamento equivalente a outro já classificado recebe a mesma classificação — o gasto recorrente não se reclassifica todo mês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RN-43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fechamento do mês confere o saldo calculado contra o saldo do extrato e trava o período; indicador financeiro só se calcula sobre mês fechado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RN-44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base bancária é assunto exclusivo da chefia — decorrência direta de ela misturar gasto de negócio e gasto pessoal. O que dela deriva e não a expõe — custo, margem, preço, indicador — segue em leitura para a gerência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RN-68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Transferência entre contas do próprio viveiro não é despesa nem receita — sem pareá-las, o mesmo dinheiro conta duas vezes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RN-69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 mesmo gasto pode servir a mais de um centro de custo e então se reparte entre eles; a soma das partes é o valor total. A energia do imóvel que abriga casa e clínica não pertence a um centro só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RN-70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Pedido entregue não é pedido pago: o recebimento é evento próprio, e só o extrato o comprova. O ciclo comercial e o ciclo do dinheiro fecham em momentos diferentes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Elaborado pelo autor (2026).</w:t>
      </w:r>
    </w:p>
    <w:p>
      <w:pPr>
        <w:spacing w:after="60" w:before="240" w:line="24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Quadro 8 – Regras de negócio das áreas de acesso, responsabilidade e indicadores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200"/>
        <w:gridCol w:w="7871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RN-45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 pessoa tem um perfil — chefia, gerência, colaborador, administrador — que determina o que ela vê e o que pode fazer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RN-46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 registro tem autor identificado: quem registrou a produção, a perda, a separação ou a mudança de estado responde pelo registro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RN-47</w:t>
            </w:r>
          </w:p>
        </w:tc>
        <w:tc>
          <w:tcPr>
            <w:tcW w:type="dxa" w:w="7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Indicador sem comparação com o período anterior e sem meta não orienta decisão, e cada perfil acompanha os indicadores da sua responsabilidade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Elaborado pelo autor (2026).</w:t>
      </w:r>
    </w:p>
    <w:p>
      <w:pPr>
        <w:spacing w:after="60" w:before="240" w:line="24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Quadro 9 – Distribuição das regras de negócio por área do domínio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4000"/>
        <w:gridCol w:w="3071"/>
        <w:gridCol w:w="2000"/>
      </w:tblGrid>
      <w:tr>
        <w:trPr>
          <w:cantSplit/>
          <w:tblHeader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Área</w:t>
            </w:r>
          </w:p>
        </w:tc>
        <w:tc>
          <w:tcPr>
            <w:tcW w:type="dxa" w:w="3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Regras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A: Domínio e produto</w:t>
            </w:r>
          </w:p>
        </w:tc>
        <w:tc>
          <w:tcPr>
            <w:tcW w:type="dxa" w:w="3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RN-01 a RN-06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B: Custeio</w:t>
            </w:r>
          </w:p>
        </w:tc>
        <w:tc>
          <w:tcPr>
            <w:tcW w:type="dxa" w:w="3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RN-07 a RN-12, RN-53, RN-56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C: Produção, estoque e perdas</w:t>
            </w:r>
          </w:p>
        </w:tc>
        <w:tc>
          <w:tcPr>
            <w:tcW w:type="dxa" w:w="3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RN-13 a RN-18, RN-48 a RN-52, RN-57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D: Precificação</w:t>
            </w:r>
          </w:p>
        </w:tc>
        <w:tc>
          <w:tcPr>
            <w:tcW w:type="dxa" w:w="3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RN-19 a RN-24, RN-58, RN-59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E: Cliente e obrigação fiscal</w:t>
            </w:r>
          </w:p>
        </w:tc>
        <w:tc>
          <w:tcPr>
            <w:tcW w:type="dxa" w:w="3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RN-25 a RN-30, RN-54, RN-55, RN-60 a RN-62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F: Pedido, entrega e fornecedor</w:t>
            </w:r>
          </w:p>
        </w:tc>
        <w:tc>
          <w:tcPr>
            <w:tcW w:type="dxa" w:w="3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RN-31 a RN-39, RN-63 a RN-67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G: Financeiro</w:t>
            </w:r>
          </w:p>
        </w:tc>
        <w:tc>
          <w:tcPr>
            <w:tcW w:type="dxa" w:w="3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RN-40 a RN-44, RN-68 a RN-70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H: Acesso e responsabilidade</w:t>
            </w:r>
          </w:p>
        </w:tc>
        <w:tc>
          <w:tcPr>
            <w:tcW w:type="dxa" w:w="3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RN-45, RN-46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I: Indicadores</w:t>
            </w:r>
          </w:p>
        </w:tc>
        <w:tc>
          <w:tcPr>
            <w:tcW w:type="dxa" w:w="3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3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70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Elaborado pelo autor (2026).</w:t>
      </w:r>
    </w:p>
    <w:p>
      <w:pPr>
        <w:pStyle w:val="Heading1"/>
        <w:spacing w:after="180" w:before="360" w:line="24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QUADROS – REQUISITOS E VÍNCULO COM AS REGRAS DE NEGÓCIO</w:t>
      </w:r>
    </w:p>
    <w:p>
      <w:pPr>
        <w:spacing w:after="60" w:before="240" w:line="24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Quadro 10 – Requisitos funcionais e as regras de negócio que os originam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4571"/>
        <w:gridCol w:w="1500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 RN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Autenticação de usuário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autenticar o usuário por identificador e senha antes de conceder qualquer acesso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RN-45, RN-46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Troca de senha no primeiro acesso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exigir troca de senha no primeiro acesso do usuário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Encerramento de sessão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ao usuário encerrar sua sessão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tentativas de acesso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registrar cada tentativa de autenticação com data, origem e dispositivo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Gestão de usuários e perfis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ao administrador criar usuários e atribuir perfil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Verificação de permissão por operação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verificar a permissão do perfil a cada operação, e não apenas ocultar elementos da interface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Gestão de sessões ativas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deveria permitir ao usuário visualizar e encerrar suas sessões ativas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de espécie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cadastrar espécie com nome científico, nomes populares, características, tempo de germinação, tempo de produção e fotografia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RN-01, RN-02, RN-03, RN-05, RN-29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de espécie por nome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localizar a espécie por qualquer um de seus nomes populares ou pelo nome científico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RN-02, RN-03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de recipiente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cadastrar recipientes com volume e consumo de substrato por unidade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RN-04, RN-07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de insumo com histórico de preços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cadastrar insumos com unidade de medida e custo, preservando o histórico de preços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custo fixo mensal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registrar custos fixos mensais por categoria e mês de referência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RN-07, RN-12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coleta de sementes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registrar coleta de sementes com região, distância, combustível, horas e quantidade obtida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consumo de insumo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registrar, em campo, o consumo de insumo indicando insumo, espécie, recipiente e quantidade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RN-04, RN-07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Cálculo do custo variável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calcular o custo variável de cada combinação de espécie e recipiente, somando substrato, semente, recipiente, demais insumos e mão de obra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RN-04, RN-07, RN-10, RN-11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Rateio do custo fixo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ratear o custo fixo mensal sobre a produção do período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RN-07, RN-12, RN-56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 do custo unitário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apresentar o custo unitário por espécie e recipiente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RN-07, RN-19, RN-58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Recálculo do custo unitário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recalcular o custo unitário quando houver alteração em insumo, custo fixo ou consumo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RN-08, RN-09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RF-19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atividade de produção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registrar atividade de produção — semeadura, repicagem, irrigação, adubação — com espécie, recipiente e quantidade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RN-01, RN-04, RN-05, RN-10, RN-13, RN-57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Atribuição de atividades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à gerência atribuir atividades de produção a colaboradores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RN-10, RN-46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Acompanhamento do ciclo produtivo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deveria apresentar o acompanhamento do ciclo produtivo por espécie, com previsão de disponibilidade a partir do tempo de produção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RN-05, RN-06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 de estoque disponível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apresentar a quantidade disponível por espécie e recipiente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RN-04, RN-06, RN-13, RN-57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contagem física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registrar contagem física de estoque, com a quantidade contada substituindo a calculada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Alerta de estoque mínimo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sinalizar espécies zeradas ou abaixo da quantidade mínima definida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Histórico de contagens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deveria manter o histórico de contagens por espécie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perda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registrar perda com espécie, recipiente, quantidade e causa selecionada em lista fechada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RN-01, RN-04, RN-16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 de perdas por período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listar as perdas registradas com filtro por período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RN-16, RN-17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Cálculo da taxa de mortalidade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calcular a taxa de mortalidade por espécie e período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RF-29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Alerta de mortalidade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emitir alerta para espécie cuja mortalidade ultrapasse 20%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RF-30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Relatório de perdas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deveria apresentar relatório consolidado de perdas com estimativa de impacto financeiro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RF-31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Definição de margem por canal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definir a margem aplicada a cada canal de venda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RN-19, RN-20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RF-32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Cálculo do preço sugerido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calcular o preço sugerido somando ao custo unitário a margem do canal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RN-19, RN-59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RF-33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Bloqueio de preço abaixo do piso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impedir que o preço praticado fique abaixo do piso mínimo de segurança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RN-21, RN-22, RN-39, RN-59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RF-34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Incorporação do frete ao preço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incorporar o frete ao preço, calculado por valor por quilômetro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RN-23, RN-62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RF-35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Relatório de custo e preço praticado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apresentar relatório comparando custo e preço praticado, destacando margens negativas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RN-24, RN-58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RF-36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rápido de cliente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cadastro rápido de cliente com nome e telefone, sem sair da tela de pedido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RF-37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fiscal de cliente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cadastro completo de cliente com dados fiscais de pessoa física ou jurídica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RN-25, RN-30, RN-60, RN-62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RF-38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Validação de CPF e CNPJ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validar CPF e CNPJ informados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RF-39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de cliente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localizar cliente por nome, telefone ou documento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RN-26, RN-27, RN-61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RF-40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Sinalização de cadastro fiscal incompleto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sinalizar cadastro fiscal incompleto quando o pedido exigir nota fiscal, permitindo completá-lo no próprio fluxo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RN-25, RN-28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RF-41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pedido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registrar pedido com cliente, canal de venda e itens compostos por espécie, recipiente e quantidade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RN-04, RN-20, RN-31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RF-42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Verificação de disponibilidade do pedido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verificar a disponibilidade de cada item do pedido contra o estoque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RN-06, RN-13, RN-34, RN-67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RF-43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disponibilidade parcial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representar disponibilidade parcial, registrando a quantidade efetivamente disponível quando menor que a pedida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RN-34, RN-67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RF-44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Aprovação de preço pela chefia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exigir aprovação da chefia sobre o preço antes do fechamento do pedido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RN-21, RN-36, RN-59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RF-45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exigência de nota fiscal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registrar se o pedido exige nota fiscal e, quando emitida em sistema externo, o número correspondente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RN-25, RN-28, RN-29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RF-46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Geração da carga de separação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gerar a carga de separação a partir dos itens aprovados do pedido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RN-37, RN-63, RN-66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RF-47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separação física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ao colaborador registrar a separação física item a item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RN-37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RF-48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Histórico de estados do pedido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manter o histórico das mudanças de estado do pedido, com autor e momento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RN-31, RN-46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RF-49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Notificação de transição do pedido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notificar o responsável pela etapa seguinte a cada transição relevante do pedido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RN-31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RF-50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Agenda de entregas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deveria apresentar a agenda de entregas com as cargas prontas e seus destinos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RN-37, RN-63, RN-66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RF-51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Confirmação de entrega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confirmar a entrega da carga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RN-13, RN-31, RN-37, RN-63, RN-70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RF-52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de fornecedor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cadastrar fornecedor com contato, localização e espécies que fornece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RN-27, RN-38, RN-65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RF-53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cotação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registrar cotação dirigida a um ou mais fornecedores, com espécie, recipiente e quantidade por item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RN-04, RN-38, RN-65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RF-54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Comparação de propostas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comparar as propostas recebidas e registrar a escolhida por item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RN-38, RN-39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RF-55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Mapa de fornecedores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poderia apresentar os fornecedores em mapa, com a distância até o viveiro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RN-23, RN-38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RF-56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Importação de extrato bancário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importar o extrato bancário de cada conta, sem digitação de lançamentos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RN-40, RN-70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RF-57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Classificação de lançamento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classificar cada lançamento indicando centro de custo, categoria e contraparte, todos em lista fechada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RN-27, RN-40, RN-41, RN-68, RN-69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RF-58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Classificação automática recorrente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aplicar automaticamente a classificação já atribuída anteriormente a lançamentos equivalentes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RF-59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data de competência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informar data de competência distinta da data de movimentação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RF-60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Fechamento mensal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fechar o mês após conferência do saldo calculado contra o saldo do extrato, travando o período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RF-61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Restrição de indicador a mês fechado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não deve apresentar indicador financeiro calculado sobre mês ainda não fechado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RF-62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Restrição de acesso ao financeiro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restringir a base bancária — extratos, lançamentos, compras, custos fixos e fechamento — aos perfis chefia e administrador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RN-41, RN-44, RN-45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RF-63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Painel de indicadores por perfil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apresentar painel de indicadores com o conteúdo correspondente ao perfil do usuário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RN-45, RN-47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RF-64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Comparação do indicador com período anterior e meta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apresentar cada indicador comparado ao período anterior e à meta definida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RN-24, RN-43, RN-47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RF-65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Sinalização visual do indicador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sinalizar visualmente se o valor do indicador é favorável ou desfavorável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RN-17, RN-47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RF-66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item genérico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registrar item genérico — quantidade e recipiente sem espécie definida —, atendido posteriormente por uma ou mais espécies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RN-32, RN-64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RF-67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Delimitação de espécies aceitas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delimitar, no item genérico, a lista de espécies aceitas pelo cliente e a especificação de qualidade exigida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RN-33, RN-64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RF-68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Oferta de recipiente alternativo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permitir, na verificação de disponibilidade, oferecer recipiente diferente do solicitado, registrando qual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RN-04, RN-35, RN-64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RF-69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de funcionário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cadastrar funcionário com contato e vínculo — fixo ou diarista —, inclusive quando ele não tem acesso ao sistema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RN-27, RN-54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RF-70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Catálogo de tipos de tarefa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manter o catálogo de tipos de tarefa, com unidade de medida, tempo médio por unidade e quais tipos exigem espécie e recipiente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RN-55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RF-71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Montagem da agenda da semana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montar a agenda da semana atribuindo, por funcionário e por dia, o tipo de tarefa e o turno — manhã ou tarde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RF-72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Cópia da semana e tarefas recorrentes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copiar a agenda da semana anterior e marcar tarefas como recorrentes, que passam a nascer preenchidas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RF-73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Situação da semana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controlar a situação da semana — rascunho, publicada e fechada — e impedir alteração depois do fechamento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RN-50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RF-74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Conclusão de tarefa pelo colaborador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apresentar ao colaborador apenas as tarefas atribuídas a ele no dia, e permitir concluí-las informando somente a quantidade realizada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RN-52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RF-75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Fechamento de tarefa não confirmada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assumir como realizada, ao fechar a semana, a tarefa planejada que não foi confirmada, registrando essa condição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RN-51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RF-76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Apuração do custo de mão de obra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apurar o custo de mão de obra por espécie e período, a partir das horas da agenda e de um valor-hora médio do período, e incorporá-lo ao custo unitário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RN-48, RN-53, RN-56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Elaborado pelo autor (2026).</w:t>
      </w:r>
    </w:p>
    <w:p>
      <w:pPr>
        <w:spacing w:after="60" w:before="240" w:line="24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Quadro 11 – Requisitos não funcionais e as regras de negócio relacionadas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4571"/>
        <w:gridCol w:w="1500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 RN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Limite de campos por tela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Formulários de campo devem apresentar no máximo cinco campos por tela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RN-10, RN-16, RN-26, RN-37, RN-48, RN-49, RN-52, RN-55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fechada em campos de categoria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Campos de categoria devem oferecer lista fechada de opções, nunca entrada livre de texto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RN-03, RN-16, RN-20, RN-27, RN-41, RN-52, RN-57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Alvo de toque adequado ao campo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Elementos acionáveis devem ter alvo de toque compatível com uso de dedos sujos e molhados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Confirmação visual de gravação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 ação de gravação deve produzir resposta visual imediata de confirmação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Operação sem conexão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registro de dados em campo deve funcionar sem conexão, com envio automático ao restabelecer a rede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RN-13, RN-16, RN-37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Concepção para celular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interface deve ser concebida para uso em celular, e não adaptada a partir de tela de computador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Desempenho sob conexão lenta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permanecer utilizável sob conexão móvel lenta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Vocabulário da empresa na interface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interface deve empregar o vocabulário da empresa, conforme o glossário, e não termos técnicos do sistema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Cifragem de senhas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Senhas devem ser armazenadas de forma cifrada, por técnica que impeça sua recuperação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RNF-10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Proteção do identificador de sessão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Identificadores de sessão devem ser armazenados apenas em formato protegido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RNF-11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Marcações de segurança em cookies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Cookies de sessão devem receber as marcações de segurança que restringem seu uso a comunicação cifrada e impedem leitura por código do navegador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RNF-12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Controle de acesso no servidor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regras de acesso aos dados devem ser executadas no servidor, nunca no navegador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RN-44, RN-45, RN-53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RNF-13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Cifragem em trânsito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 comunicação entre cliente e servidor deve ser cifrada em trânsito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RNF-14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 e recuperação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dispor de rotina de backup e procedimento de recuperação com objetivos declarados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RNF-15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Idioma de código e documentação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Arquivos, identificadores e estruturas de dados devem ser nomeados em inglês; a documentação, em português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RNF-16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Ramificação por funcionalidade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 funcionalidade deve ser desenvolvida em ramificação própria e integrada por solicitação de incorporação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RNF-17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Proteção da versão principal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Alteração direta na versão principal deve ser impedida por controle automático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RNF-18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Padrão de mensagem de alteração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Mensagens de alteração devem seguir padrão fixo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RNF-19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Versionamento do banco de dados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Alterações na estrutura do banco devem ser versionadas em arquivos aplicados de forma controlada, preservando compatibilidade retroativa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RNF-20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Testes automatizados obrigatórios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 alteração de código deve incluir testes automatizados cobrindo utilitários, regras de negócio e validações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RNF-21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Verificação automática antes do envio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Verificação automática executada antes de cada alteração deve bloquear o envio em caso de arquivo sensível, falha de teste ou desvio de padronização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RNF-22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versionamento de credenciais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Credenciais, chaves e dados sensíveis não devem ser versionados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RNF-23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Conformidade com a proteção de dados pessoais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tratamento de dados pessoais deve observar a Lei nº 13.709/2018, com finalidade, base legal e prazo de retenção declarados para cada dado coletado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RN-30, RN-60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RNF-24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 cadastrais suficientes para nota fiscal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 dados cadastrais de cliente devem comportar o conjunto exigido para emissão de nota fiscal no sistema externo em uso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RN-25, RN-28, RN-62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RNF-25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Disponibilidade do nome científico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nome científico da espécie deve estar disponível para atender exigências de projetos de compensação ambiental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RN-02, RN-29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Acesso por navegador de celular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operar em navegador de celular de uso corrente pela equipe, sem exigir instalação a partir de loja de aplicativos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Elaborado pelo autor (2026).</w:t>
      </w:r>
    </w:p>
    <w:p>
      <w:pPr>
        <w:spacing w:after="60" w:before="240" w:line="24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Quadro 12 – Restrições do projeto e os requisitos não funcionais que originam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300"/>
        <w:gridCol w:w="3271"/>
        <w:gridCol w:w="2000"/>
        <w:gridCol w:w="2500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Origem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Requisitos originados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RE-1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Usuários sem formação técnica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 da equipe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RNF-01, RNF-02, RNF-08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RE-2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Celular como dispositivo principal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Contexto de campo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RNF-06, RNF-26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RE-3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Conexão instável no viveiro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Ambiente físico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RNF-05, RNF-07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RE-4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Uso com as mãos sujas, sob sol e chuva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Ambiente físico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RNF-03, RNF-04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RE-5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Orçamento de microempresa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Porte da organização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RNF-14, RNF-26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RE-6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Prazo até novembro de 2026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Calendário acadêmico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Afeta o escopo, não os requisitos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RE-7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financeira mistura gasto de negócio e gasto pessoal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Histórico da empresa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Origina RN-41 e RN-44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RE-8</w:t>
            </w:r>
          </w:p>
        </w:tc>
        <w:tc>
          <w:tcPr>
            <w:tcW w:type="dxa" w:w="3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 pessoais sujeitos à legislação de proteção de dados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Origina RN-30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Elaborado pelo autor (2026).</w:t>
      </w:r>
    </w:p>
    <w:p>
      <w:pPr>
        <w:spacing w:after="60" w:before="240" w:line="24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Quadro 13 – Síntese da origem dos requisitos do sistema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3071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type="dxa" w:w="307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Origem</w:t>
            </w:r>
          </w:p>
        </w:tc>
        <w:tc>
          <w:tcPr>
            <w:tcW w:type="dxa" w:w="30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Requisitos funcionais</w:t>
            </w:r>
          </w:p>
        </w:tc>
        <w:tc>
          <w:tcPr>
            <w:tcW w:type="dxa" w:w="30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Requisitos não funcionais</w:t>
            </w:r>
          </w:p>
        </w:tc>
      </w:tr>
      <w:tr>
        <w:trPr>
          <w:cantSplit/>
          <w:tblHeader/>
        </w:trPr>
        <w:tc>
          <w:tcPr>
            <w:tcW w:type="dxa" w:w="307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Qtd.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%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Qtd.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3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Regra de negócio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96,1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11,5</w:t>
            </w:r>
          </w:p>
        </w:tc>
      </w:tr>
      <w:tr>
        <w:trPr>
          <w:cantSplit/>
        </w:trPr>
        <w:tc>
          <w:tcPr>
            <w:tcW w:type="dxa" w:w="3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Restrição do ambiente (RE-1 a RE-5)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38,5</w:t>
            </w:r>
          </w:p>
        </w:tc>
      </w:tr>
      <w:tr>
        <w:trPr>
          <w:cantSplit/>
        </w:trPr>
        <w:tc>
          <w:tcPr>
            <w:tcW w:type="dxa" w:w="3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Política do projeto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50,0</w:t>
            </w:r>
          </w:p>
        </w:tc>
      </w:tr>
      <w:tr>
        <w:trPr>
          <w:cantSplit/>
        </w:trPr>
        <w:tc>
          <w:tcPr>
            <w:tcW w:type="dxa" w:w="3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l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100,0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40"/>
              <w:jc w:val="c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100,0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Fonte: Elaborado pelo autor (2026).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after="0" w:line="240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qFormat/>
    <w:pPr>
      <w:outlineLvl w:val="0"/>
    </w:pPr>
    <w:rPr>
      <w:rFonts w:ascii="Arial" w:cs="Arial" w:eastAsia="Arial" w:hAnsi="Arial"/>
      <w:b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Quadros de regras de negócio e requisitos</dc:title>
  <dc:creator>Viveiro Mudar</dc:creator>
  <cp:lastModifiedBy>scripts/build-quadros-docx.mjs</cp:lastModifiedBy>
  <dcterms:created xsi:type="dcterms:W3CDTF">2026-08-19T23:11:48Z</dcterms:created>
  <dcterms:modified xsi:type="dcterms:W3CDTF">2026-08-19T23:11:48Z</dcterms:modified>
</cp:coreProperties>
</file>