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um turno vale quatro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do viveiro repete a anterior. Replanejar do zero é a exceção, copiar e ajustar é a regra.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planejada e não confirmada conta como realizada ao fechar a semana,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Funcionário é vínculo de trabalho, não acesso ao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carrega o tempo médio por unidade.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pessoa que se opõe ao contato comercial fica fora de qualquer cotação ou abordagem, e essa oposição é registro permanente.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Declarar que dois cadastros são a mesma pessoa é decisão de quem conhece as pessoas. Coincidência de nome ou de documento levanta a pergunta, não a conclui.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só se firma com a aprovação da chefia. Nenhum pedido avança ao fechamento sem ela.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carga é uma viagem, com data própria. Cargas de um mesmo pedido saem em dias diferentes.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recipiente informado é o mínimo aceitável. Atende-se com porte igual ou maior, nunca menor.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fornecedor que não responde deixa de ser consultado. A confiabilidade se mede pela taxa de resposta.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centro de custo separa gasto de negócio de gasto pessoal da família, lista fechada de cinco, viveiro, sítio, clínica, casa, floricultura.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 a RN-52, RN-57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RN-54, RN-55, RN-60 a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RN-39, RN-63 a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RN-27, RN-61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RN-36,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RN-63,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RN-63,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RN-38, RN-65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RN-35, RN-64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RN-54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unidade de medida, tempo médio por unidade e quais tipos exigem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RN-49,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RN-30, RN-60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96,1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