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indicadores-de-desempenho"/>
    <w:p>
      <w:pPr>
        <w:pStyle w:val="Heading1"/>
      </w:pPr>
      <w:r>
        <w:t xml:space="preserve">4.9 Indicadores de desempenho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G-gestao/G2-fichas-de-indicadores.md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por-que-este-artefato"/>
    <w:p>
      <w:pPr>
        <w:pStyle w:val="Heading2"/>
      </w:pPr>
      <w:r>
        <w:t xml:space="preserve">4.9.1 Por que este artefato</w:t>
      </w:r>
    </w:p>
    <w:p>
      <w:pPr>
        <w:pStyle w:val="FirstParagraph"/>
      </w:pPr>
      <w:r>
        <w:t xml:space="preserve">Este documento atende ao</w:t>
      </w:r>
      <w:r>
        <w:t xml:space="preserve"> </w:t>
      </w:r>
      <w:r>
        <w:rPr>
          <w:b/>
          <w:bCs/>
        </w:rPr>
        <w:t xml:space="preserve">objetivo específico nº 4</w:t>
      </w:r>
      <w:r>
        <w:t xml:space="preserve"> </w:t>
      </w:r>
      <w:r>
        <w:t xml:space="preserve">do trabalho:</w:t>
      </w:r>
      <w:r>
        <w:t xml:space="preserve"> </w:t>
      </w:r>
      <w:r>
        <w:rPr>
          <w:i/>
          <w:iCs/>
        </w:rPr>
        <w:t xml:space="preserve">definir indicadores de desempenho</w:t>
      </w:r>
      <w:r>
        <w:rPr>
          <w:i/>
          <w:iCs/>
        </w:rPr>
        <w:t xml:space="preserve"> </w:t>
      </w:r>
      <w:r>
        <w:rPr>
          <w:i/>
          <w:iCs/>
        </w:rPr>
        <w:t xml:space="preserve">padrões para monitoramento de eficiência operacional</w:t>
      </w:r>
      <w:r>
        <w:t xml:space="preserve">.</w:t>
      </w:r>
    </w:p>
    <w:p>
      <w:pPr>
        <w:pStyle w:val="BodyText"/>
      </w:pPr>
      <w:r>
        <w:t xml:space="preserve">A definição precisa vir antes da tela. Um indicador construído a partir do que é fácil de exibir</w:t>
      </w:r>
      <w:r>
        <w:t xml:space="preserve"> </w:t>
      </w:r>
      <w:r>
        <w:t xml:space="preserve">mede o que o sistema já sabe; um indicador definido a partir da decisão que precisa ser tomada</w:t>
      </w:r>
      <w:r>
        <w:t xml:space="preserve"> </w:t>
      </w:r>
      <w:r>
        <w:t xml:space="preserve">determina o que o sistema precisa passar a saber. Cada ficha abaixo nasce de</w:t>
      </w:r>
      <w:r>
        <w:t xml:space="preserve"> </w:t>
      </w:r>
      <w:r>
        <w:rPr>
          <w:b/>
          <w:bCs/>
        </w:rPr>
        <w:t xml:space="preserve">uma pergunta que hoje</w:t>
      </w:r>
      <w:r>
        <w:rPr>
          <w:b/>
          <w:bCs/>
        </w:rPr>
        <w:t xml:space="preserve"> </w:t>
      </w:r>
      <w:r>
        <w:rPr>
          <w:b/>
          <w:bCs/>
        </w:rPr>
        <w:t xml:space="preserve">não tem resposta</w:t>
      </w:r>
      <w:r>
        <w:t xml:space="preserve"> </w:t>
      </w:r>
      <w:r>
        <w:t xml:space="preserve">na empresa.</w:t>
      </w:r>
    </w:p>
    <w:p>
      <w:pPr>
        <w:pStyle w:val="BodyText"/>
      </w:pPr>
      <w:r>
        <w:rPr>
          <w:b/>
          <w:bCs/>
        </w:rPr>
        <w:t xml:space="preserve">São três indicadores, e não um painel.</w:t>
      </w:r>
      <w:r>
        <w:t xml:space="preserve"> </w:t>
      </w:r>
      <w:r>
        <w:t xml:space="preserve">Os três são leituras do mapa de lotes, e é ali que</w:t>
      </w:r>
      <w:r>
        <w:t xml:space="preserve"> </w:t>
      </w:r>
      <w:r>
        <w:t xml:space="preserve">aparecem: um painel separado exigiria que alguém se lembrasse de abri-lo, e o que a gerência abre</w:t>
      </w:r>
      <w:r>
        <w:t xml:space="preserve"> </w:t>
      </w:r>
      <w:r>
        <w:t xml:space="preserve">todo dia é o mapa.</w:t>
      </w:r>
    </w:p>
    <w:p>
      <w:r>
        <w:pict>
          <v:rect style="width:0;height:1.5pt" o:hralign="center" o:hrstd="t" o:hr="t"/>
        </w:pict>
      </w:r>
    </w:p>
    <w:bookmarkEnd w:id="9"/>
    <w:bookmarkStart w:id="10" w:name="estrutura-da-ficha"/>
    <w:p>
      <w:pPr>
        <w:pStyle w:val="Heading2"/>
      </w:pPr>
      <w:r>
        <w:t xml:space="preserve">4.9.2 Estrutura da ficha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de negócio</w:t>
            </w:r>
          </w:p>
        </w:tc>
        <w:tc>
          <w:tcPr/>
          <w:p>
            <w:pPr>
              <w:pStyle w:val="Compact"/>
            </w:pPr>
            <w:r>
              <w:t xml:space="preserve">A decisão que o indicador subsidia. Se não houver decisão, não há indicador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O que o número expressa, em uma frase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Cálculo explícito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Entidades de onde os dados provêm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Como o valor se expressa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Período de apuração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Frequência de atualização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Valor pretendido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Faixas</w:t>
            </w:r>
          </w:p>
        </w:tc>
        <w:tc>
          <w:tcPr/>
          <w:p>
            <w:pPr>
              <w:pStyle w:val="Compact"/>
            </w:pPr>
            <w:r>
              <w:t xml:space="preserve">Limiares que separam desempenho favorável, de atenção e 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</w:t>
            </w:r>
          </w:p>
        </w:tc>
        <w:tc>
          <w:tcPr/>
          <w:p>
            <w:pPr>
              <w:pStyle w:val="Compact"/>
            </w:pPr>
            <w:r>
              <w:t xml:space="preserve">Contra o que o valor é confrontado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Quem responde pelo indicador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Perfis</w:t>
            </w:r>
          </w:p>
        </w:tc>
        <w:tc>
          <w:tcPr/>
          <w:p>
            <w:pPr>
              <w:pStyle w:val="Compact"/>
            </w:pPr>
            <w:r>
              <w:t xml:space="preserve">Quem o visualiza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indicadores-operacionais"/>
    <w:p>
      <w:pPr>
        <w:pStyle w:val="Heading2"/>
      </w:pPr>
      <w:r>
        <w:t xml:space="preserve">4.9.3 Indicadores operacionais</w:t>
      </w:r>
    </w:p>
    <w:p>
      <w:pPr>
        <w:pStyle w:val="FirstParagraph"/>
      </w:pPr>
      <w:r>
        <w:rPr>
          <w:b/>
          <w:bCs/>
        </w:rPr>
        <w:t xml:space="preserve">São três, e os três são o que o mapa de lotes mostra.</w:t>
      </w:r>
      <w:r>
        <w:t xml:space="preserve"> </w:t>
      </w:r>
      <w:r>
        <w:t xml:space="preserve">A coincidência é deliberada: indicador</w:t>
      </w:r>
      <w:r>
        <w:t xml:space="preserve"> </w:t>
      </w:r>
      <w:r>
        <w:t xml:space="preserve">que não cabe na tela que a gerência já abre todo dia é indicador que ninguém consulta. Não há aqui</w:t>
      </w:r>
      <w:r>
        <w:t xml:space="preserve"> </w:t>
      </w:r>
      <w:r>
        <w:t xml:space="preserve">painel próprio, e é essa a diferença em relação à versão anterior deste artefato, que definia nove</w:t>
      </w:r>
      <w:r>
        <w:t xml:space="preserve"> </w:t>
      </w:r>
      <w:r>
        <w:t xml:space="preserve">indicadores para um painel que não existia.</w:t>
      </w:r>
    </w:p>
    <w:bookmarkStart w:id="11" w:name="ind-01-taxa-de-mortalidade-do-lote"/>
    <w:p>
      <w:pPr>
        <w:pStyle w:val="Heading3"/>
      </w:pPr>
      <w:r>
        <w:t xml:space="preserve">IND-01 · Taxa de mortalidade do lote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de negócio</w:t>
            </w:r>
          </w:p>
        </w:tc>
        <w:tc>
          <w:tcPr/>
          <w:p>
            <w:pPr>
              <w:pStyle w:val="Compact"/>
            </w:pPr>
            <w:r>
              <w:t xml:space="preserve">Que levas estão morrendo além do aceitável, e por quê?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Proporção de mudas perdidas em relação à quantidade inicial da leva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soma dos movimentos de perda do lote ÷ quantidade inicial do lote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Vida inteira do lote, da criação ao encerramento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A cada leitura: é derivado, não apurado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≤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Faixas</w:t>
            </w:r>
          </w:p>
        </w:tc>
        <w:tc>
          <w:tcPr/>
          <w:p>
            <w:pPr>
              <w:pStyle w:val="Compact"/>
            </w:pPr>
            <w:r>
              <w:t xml:space="preserve">Favorável ≤ 10% · Atenção 10% até o limite ·</w:t>
            </w:r>
            <w:r>
              <w:t xml:space="preserve"> </w:t>
            </w:r>
            <w:r>
              <w:rPr>
                <w:b/>
                <w:bCs/>
              </w:rPr>
              <w:t xml:space="preserve">Crítico acima do limite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</w:t>
            </w:r>
          </w:p>
        </w:tc>
        <w:tc>
          <w:tcPr/>
          <w:p>
            <w:pPr>
              <w:pStyle w:val="Compact"/>
            </w:pPr>
            <w:r>
              <w:t xml:space="preserve">Outros lotes da mesma espécie e recipiente, média do viveiro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Perfis</w:t>
            </w:r>
          </w:p>
        </w:tc>
        <w:tc>
          <w:tcPr/>
          <w:p>
            <w:pPr>
              <w:pStyle w:val="Compact"/>
            </w:pPr>
            <w:r>
              <w:t xml:space="preserve">Chefia, Gerência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O limiar não é constante: é parâmetro</w:t>
      </w:r>
      <w:r>
        <w:t xml:space="preserve"> </w:t>
      </w:r>
      <w:r>
        <w:t xml:space="preserve">(RF-09, RN-26). RN-11 diz que o lote é destacado acima do</w:t>
      </w:r>
      <w:r>
        <w:t xml:space="preserve"> </w:t>
      </w:r>
      <w:r>
        <w:t xml:space="preserve">limite, e não qual é o limite: o valor começa em 20% na instalação, e a chefia o altera em</w:t>
      </w:r>
      <w:r>
        <w:t xml:space="preserve"> </w:t>
      </w:r>
      <w:r>
        <w:t xml:space="preserve">Configurações sem que ninguém implante nada.</w:t>
      </w:r>
    </w:p>
    <w:p>
      <w:pPr>
        <w:pStyle w:val="BodyText"/>
      </w:pPr>
      <w:r>
        <w:rPr>
          <w:b/>
          <w:bCs/>
        </w:rPr>
        <w:t xml:space="preserve">É por lote, e não por espécie, e a diferença é o achado.</w:t>
      </w:r>
      <w:r>
        <w:t xml:space="preserve"> </w:t>
      </w:r>
      <w:r>
        <w:t xml:space="preserve">A taxa por espécie diz que o ipê morre</w:t>
      </w:r>
      <w:r>
        <w:t xml:space="preserve"> </w:t>
      </w:r>
      <w:r>
        <w:t xml:space="preserve">muito; a taxa por lote diz</w:t>
      </w:r>
      <w:r>
        <w:t xml:space="preserve"> </w:t>
      </w:r>
      <w:r>
        <w:rPr>
          <w:b/>
          <w:bCs/>
        </w:rPr>
        <w:t xml:space="preserve">qual leva</w:t>
      </w:r>
      <w:r>
        <w:t xml:space="preserve"> </w:t>
      </w:r>
      <w:r>
        <w:t xml:space="preserve">morreu, em que canteiro, e o que se fez nela. Sem o lote a</w:t>
      </w:r>
      <w:r>
        <w:t xml:space="preserve"> </w:t>
      </w:r>
      <w:r>
        <w:t xml:space="preserve">regra do limite de mortalidade aponta um problema que ninguém consegue localizar.</w:t>
      </w:r>
    </w:p>
    <w:p>
      <w:pPr>
        <w:pStyle w:val="BlockText"/>
      </w:pPr>
      <w:r>
        <w:t xml:space="preserve">Este é o indicador de maior valor imediato, porque mede algo que hoje é</w:t>
      </w:r>
      <w:r>
        <w:t xml:space="preserve"> </w:t>
      </w:r>
      <w:r>
        <w:rPr>
          <w:b/>
          <w:bCs/>
        </w:rPr>
        <w:t xml:space="preserve">inteiramente</w:t>
      </w:r>
      <w:r>
        <w:rPr>
          <w:b/>
          <w:bCs/>
        </w:rPr>
        <w:t xml:space="preserve"> </w:t>
      </w:r>
      <w:r>
        <w:rPr>
          <w:b/>
          <w:bCs/>
        </w:rPr>
        <w:t xml:space="preserve">desconhecido</w:t>
      </w:r>
      <w:r>
        <w:t xml:space="preserve">. A empresa não sabe sua taxa de mortalidade, nem por lote, nem no agregado. O</w:t>
      </w:r>
      <w:r>
        <w:t xml:space="preserve"> </w:t>
      </w:r>
      <w:r>
        <w:t xml:space="preserve">primeiro valor que ele exibir será a primeira vez que o número existirá.</w:t>
      </w:r>
    </w:p>
    <w:bookmarkEnd w:id="11"/>
    <w:bookmarkStart w:id="12" w:name="ind-02-lotes-por-situação"/>
    <w:p>
      <w:pPr>
        <w:pStyle w:val="Heading3"/>
      </w:pPr>
      <w:r>
        <w:t xml:space="preserve">IND-02 · Lotes por situação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de negócio</w:t>
            </w:r>
          </w:p>
        </w:tc>
        <w:tc>
          <w:tcPr/>
          <w:p>
            <w:pPr>
              <w:pStyle w:val="Compact"/>
            </w:pPr>
            <w:r>
              <w:t xml:space="preserve">Que levas estão esperando trabalho que ninguém fez?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Distribuição dos lotes abertos entre saudável, atenção e crítico, no geral e por área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Contagem de lotes por faixa de</w:t>
            </w:r>
            <w:r>
              <w:t xml:space="preserve"> </w:t>
            </w:r>
            <w:r>
              <w:rPr>
                <w:rStyle w:val="VerbatimChar"/>
              </w:rPr>
              <w:t xml:space="preserve">dias_atraso</w:t>
            </w:r>
            <w:r>
              <w:t xml:space="preserve">, comparada aos limites de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Visão</w:t>
            </w:r>
            <w:r>
              <w:t xml:space="preserve"> </w:t>
            </w:r>
            <w:r>
              <w:rPr>
                <w:rStyle w:val="VerbatimChar"/>
              </w:rPr>
              <w:t xml:space="preserve">situacao_lote</w:t>
            </w:r>
            <w:r>
              <w:t xml:space="preserve">, que lê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Contagem absoluta e percentual do total de lotes abertos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Instantâneo do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A cada leitura:</w:t>
            </w:r>
            <w:r>
              <w:t xml:space="preserve"> </w:t>
            </w:r>
            <w:r>
              <w:rPr>
                <w:b/>
                <w:bCs/>
              </w:rPr>
              <w:t xml:space="preserve">nunca gravado</w:t>
            </w:r>
            <w:r>
              <w:t xml:space="preserve"> </w:t>
            </w:r>
            <w:r>
              <w:t xml:space="preserve">(RF-45)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Nenhum lote 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Faixas</w:t>
            </w:r>
          </w:p>
        </w:tc>
        <w:tc>
          <w:tcPr/>
          <w:p>
            <w:pPr>
              <w:pStyle w:val="Compact"/>
            </w:pPr>
            <w:r>
              <w:t xml:space="preserve">Definidas por parâmetro:</w:t>
            </w:r>
            <w:r>
              <w:t xml:space="preserve"> </w:t>
            </w:r>
            <w:r>
              <w:rPr>
                <w:rStyle w:val="VerbatimChar"/>
              </w:rPr>
              <w:t xml:space="preserve">producao.atraso_atencao_dias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producao.atraso_critico_dias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</w:t>
            </w:r>
          </w:p>
        </w:tc>
        <w:tc>
          <w:tcPr/>
          <w:p>
            <w:pPr>
              <w:pStyle w:val="Compact"/>
            </w:pPr>
            <w:r>
              <w:t xml:space="preserve">O mesmo dia da semana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Perfis</w:t>
            </w:r>
          </w:p>
        </w:tc>
        <w:tc>
          <w:tcPr/>
          <w:p>
            <w:pPr>
              <w:pStyle w:val="Compact"/>
            </w:pPr>
            <w:r>
              <w:t xml:space="preserve">Chefia, Gerência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É o único indicador do conjunto que mede uma ausência.</w:t>
      </w:r>
      <w:r>
        <w:t xml:space="preserve"> </w:t>
      </w:r>
      <w:r>
        <w:t xml:space="preserve">Os outros dois medem o que aconteceu;</w:t>
      </w:r>
      <w:r>
        <w:t xml:space="preserve"> </w:t>
      </w:r>
      <w:r>
        <w:t xml:space="preserve">este mede o que</w:t>
      </w:r>
      <w:r>
        <w:t xml:space="preserve"> </w:t>
      </w:r>
      <w:r>
        <w:rPr>
          <w:b/>
          <w:bCs/>
        </w:rPr>
        <w:t xml:space="preserve">tinha de acontecer e não aconteceu</w:t>
      </w:r>
      <w:r>
        <w:t xml:space="preserve">, e é o que faz o esquecimento aparecer. A</w:t>
      </w:r>
      <w:r>
        <w:t xml:space="preserve"> </w:t>
      </w:r>
      <w:r>
        <w:t xml:space="preserve">tarefa que ninguém lançou não deixa rastro em lugar nenhum, exceto aqui, porque a cobrança vem do</w:t>
      </w:r>
      <w:r>
        <w:t xml:space="preserve"> </w:t>
      </w:r>
      <w:r>
        <w:t xml:space="preserve">protocolo do lote e não da agenda (RF-45).</w:t>
      </w:r>
    </w:p>
    <w:bookmarkEnd w:id="12"/>
    <w:bookmarkStart w:id="13" w:name="ind-03-ocupação-do-viveiro"/>
    <w:p>
      <w:pPr>
        <w:pStyle w:val="Heading3"/>
      </w:pPr>
      <w:r>
        <w:t xml:space="preserve">IND-03 · Ocupação do viveiro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de negócio</w:t>
            </w:r>
          </w:p>
        </w:tc>
        <w:tc>
          <w:tcPr/>
          <w:p>
            <w:pPr>
              <w:pStyle w:val="Compact"/>
            </w:pPr>
            <w:r>
              <w:t xml:space="preserve">Quanto do viveiro está ocupado, e há espaço para a próxima semeadura?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Proporção de canteiros ocupados sobre o total, e saldo de mudas por área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canteiros com lote aberto ÷ total de canteiros × 100</w:t>
            </w:r>
            <w:r>
              <w:t xml:space="preserve">; saldo = soma de</w:t>
            </w:r>
            <w:r>
              <w:t xml:space="preserve"> </w:t>
            </w:r>
            <w:r>
              <w:rPr>
                <w:rStyle w:val="VerbatimChar"/>
              </w:rPr>
              <w:t xml:space="preserve">quantidade_atual</w:t>
            </w:r>
            <w:r>
              <w:t xml:space="preserve"> </w:t>
            </w:r>
            <w:r>
              <w:t xml:space="preserve">dos lotes abertos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Percentual e contagem de mudas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Instantâneo do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A cada leitura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Não há meta de ocupação: o indicador informa, não cobra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Faixas</w:t>
            </w:r>
          </w:p>
        </w:tc>
        <w:tc>
          <w:tcPr/>
          <w:p>
            <w:pPr>
              <w:pStyle w:val="Compact"/>
            </w:pPr>
            <w:r>
              <w:t xml:space="preserve">Sem faixas. Viveiro cheio não é bom nem ruim; é uma restrição a considerar antes de semear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</w:t>
            </w:r>
          </w:p>
        </w:tc>
        <w:tc>
          <w:tcPr/>
          <w:p>
            <w:pPr>
              <w:pStyle w:val="Compact"/>
            </w:pPr>
            <w:r>
              <w:t xml:space="preserve">O mesmo mês do ano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Perfis</w:t>
            </w:r>
          </w:p>
        </w:tc>
        <w:tc>
          <w:tcPr/>
          <w:p>
            <w:pPr>
              <w:pStyle w:val="Compact"/>
            </w:pPr>
            <w:r>
              <w:t xml:space="preserve">Chefia, Gerência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É o indicador que não tem meta, e a ausência é declarada.</w:t>
      </w:r>
      <w:r>
        <w:t xml:space="preserve"> </w:t>
      </w:r>
      <w:r>
        <w:t xml:space="preserve">Ocupação alta pode significar</w:t>
      </w:r>
      <w:r>
        <w:t xml:space="preserve"> </w:t>
      </w:r>
      <w:r>
        <w:t xml:space="preserve">produção saudável ou muda encalhada, e o número sozinho não distingue os dois casos. Ele existe</w:t>
      </w:r>
      <w:r>
        <w:t xml:space="preserve"> </w:t>
      </w:r>
      <w:r>
        <w:t xml:space="preserve">para responder uma pergunta operacional imediata, se cabe a próxima leva, e atribuir-lhe meta o</w:t>
      </w:r>
      <w:r>
        <w:t xml:space="preserve"> </w:t>
      </w:r>
      <w:r>
        <w:t xml:space="preserve">transformaria numa cobrança sem sentido.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presentação-e-perfis"/>
    <w:p>
      <w:pPr>
        <w:pStyle w:val="Heading2"/>
      </w:pPr>
      <w:r>
        <w:t xml:space="preserve">4.9.6 Apresentação e perfis</w:t>
      </w:r>
    </w:p>
    <w:p>
      <w:pPr>
        <w:pStyle w:val="FirstParagraph"/>
      </w:pPr>
      <w:r>
        <w:t xml:space="preserve">Sharda, Delen e Turban (2015) descrevem o dashboard em três camadas,</w:t>
      </w:r>
      <w:r>
        <w:t xml:space="preserve"> </w:t>
      </w:r>
      <w:r>
        <w:rPr>
          <w:b/>
          <w:bCs/>
        </w:rPr>
        <w:t xml:space="preserve">monitoramento</w:t>
      </w:r>
      <w:r>
        <w:t xml:space="preserve">,</w:t>
      </w:r>
      <w:r>
        <w:t xml:space="preserve"> </w:t>
      </w:r>
      <w:r>
        <w:rPr>
          <w:b/>
          <w:bCs/>
        </w:rPr>
        <w:t xml:space="preserve">análise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gestão</w:t>
      </w:r>
      <w:r>
        <w:t xml:space="preserve">, e recomendam sinalizar por cores, setas ou símbolos se o número representa algo</w:t>
      </w:r>
      <w:r>
        <w:t xml:space="preserve"> </w:t>
      </w:r>
      <w:r>
        <w:t xml:space="preserve">positivo ou negativo, de modo a acelerar a compreensão do cenário.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Camada predominante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IND-01, IND-02, IND-03</w:t>
            </w:r>
          </w:p>
        </w:tc>
        <w:tc>
          <w:tcPr/>
          <w:p>
            <w:pPr>
              <w:pStyle w:val="Compact"/>
            </w:pPr>
            <w:r>
              <w:t xml:space="preserve">Monitoramento: acompanhar o viveiro sem operá-lo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IND-01, IND-02, IND-03</w:t>
            </w:r>
          </w:p>
        </w:tc>
        <w:tc>
          <w:tcPr/>
          <w:p>
            <w:pPr>
              <w:pStyle w:val="Compact"/>
            </w:pPr>
            <w:r>
              <w:t xml:space="preserve">Monitoramento e análise: é quem age sobre os três</w:t>
            </w:r>
          </w:p>
        </w:tc>
      </w:tr>
    </w:tbl>
    <w:p>
      <w:pPr>
        <w:pStyle w:val="BodyText"/>
      </w:pPr>
      <w:r>
        <w:rPr>
          <w:b/>
          <w:bCs/>
        </w:rPr>
        <w:t xml:space="preserve">Os dois perfis veem os mesmos três indicadores</w:t>
      </w:r>
      <w:r>
        <w:t xml:space="preserve">, e a coincidência não é descuido. Nenhum dos três</w:t>
      </w:r>
      <w:r>
        <w:t xml:space="preserve"> </w:t>
      </w:r>
      <w:r>
        <w:t xml:space="preserve">expõe dado financeiro ou concorrencialmente sensível: são leituras da produção, e restringir</w:t>
      </w:r>
      <w:r>
        <w:t xml:space="preserve"> </w:t>
      </w:r>
      <w:r>
        <w:t xml:space="preserve">qualquer um deles a um perfil produziria a situação em que quem decide não vê o que quem opera vê.</w:t>
      </w:r>
    </w:p>
    <w:p>
      <w:pPr>
        <w:pStyle w:val="BodyText"/>
      </w:pPr>
      <w:r>
        <w:rPr>
          <w:b/>
          <w:bCs/>
        </w:rPr>
        <w:t xml:space="preserve">Onde eles moram.</w:t>
      </w:r>
      <w:r>
        <w:t xml:space="preserve"> </w:t>
      </w:r>
      <w:r>
        <w:t xml:space="preserve">Não há tela de indicadores. Os três são o que o</w:t>
      </w:r>
      <w:r>
        <w:t xml:space="preserve"> </w:t>
      </w:r>
      <w:r>
        <w:rPr>
          <w:b/>
          <w:bCs/>
        </w:rPr>
        <w:t xml:space="preserve">mapa de lotes</w:t>
      </w:r>
      <w:r>
        <w:t xml:space="preserve"> </w:t>
      </w:r>
      <w:r>
        <w:t xml:space="preserve">apresenta</w:t>
      </w:r>
      <w:r>
        <w:t xml:space="preserve"> </w:t>
      </w:r>
      <w:r>
        <w:t xml:space="preserve">(RF-42, RF-44 e RF-45), na área Produção: IND-01 destaca o lote acima do limite, IND-02 pinta a situação</w:t>
      </w:r>
      <w:r>
        <w:t xml:space="preserve"> </w:t>
      </w:r>
      <w:r>
        <w:t xml:space="preserve">de cada lote e IND-03 é a leitura das áreas e canteiros. Um painel separado exigiria uma tela a</w:t>
      </w:r>
      <w:r>
        <w:t xml:space="preserve"> </w:t>
      </w:r>
      <w:r>
        <w:t xml:space="preserve">mais, uma rota a mais e uma permissão a mais, para exibir o que já está desenhado.</w:t>
      </w:r>
    </w:p>
    <w:bookmarkStart w:id="15" w:name="codificação-visual"/>
    <w:p>
      <w:pPr>
        <w:pStyle w:val="Heading3"/>
      </w:pPr>
      <w:r>
        <w:t xml:space="preserve">Codificação visual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Codificação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Favorável</w:t>
            </w:r>
          </w:p>
        </w:tc>
        <w:tc>
          <w:tcPr/>
          <w:p>
            <w:pPr>
              <w:pStyle w:val="Compact"/>
            </w:pPr>
            <w:r>
              <w:t xml:space="preserve">Marcação de estado positivo, com seta na direção da melhora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Atenção</w:t>
            </w:r>
          </w:p>
        </w:tc>
        <w:tc>
          <w:tcPr/>
          <w:p>
            <w:pPr>
              <w:pStyle w:val="Compact"/>
            </w:pPr>
            <w:r>
              <w:t xml:space="preserve">Marcação intermediária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Marcação de estado crítico,</w:t>
            </w:r>
            <w:r>
              <w:t xml:space="preserve"> </w:t>
            </w:r>
            <w:r>
              <w:rPr>
                <w:b/>
                <w:bCs/>
              </w:rPr>
              <w:t xml:space="preserve">acompanhada de rótulo textual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dado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Travessão</w:t>
            </w:r>
            <w:r>
              <w:t xml:space="preserve">, jamais zero</w:t>
            </w:r>
          </w:p>
        </w:tc>
      </w:tr>
    </w:tbl>
    <w:p>
      <w:pPr>
        <w:pStyle w:val="BodyText"/>
      </w:pPr>
      <w:r>
        <w:t xml:space="preserve">Duas regras deliberadas: a codificação nunca é apenas cor, acompanha símbolo e rótulo, para não</w:t>
      </w:r>
      <w:r>
        <w:t xml:space="preserve"> </w:t>
      </w:r>
      <w:r>
        <w:t xml:space="preserve">depender de percepção cromática; e</w:t>
      </w:r>
      <w:r>
        <w:t xml:space="preserve"> </w:t>
      </w:r>
      <w:r>
        <w:rPr>
          <w:b/>
          <w:bCs/>
        </w:rPr>
        <w:t xml:space="preserve">ausência de dado exibe travessão e não zero</w:t>
      </w:r>
      <w:r>
        <w:t xml:space="preserve">, porque zero é um</w:t>
      </w:r>
      <w:r>
        <w:t xml:space="preserve"> </w:t>
      </w:r>
      <w:r>
        <w:t xml:space="preserve">valor e a ausência não é. Um lote recém-criado, sem perda nenhuma, tem mortalidade zero; um lote</w:t>
      </w:r>
      <w:r>
        <w:t xml:space="preserve"> </w:t>
      </w:r>
      <w:r>
        <w:t xml:space="preserve">cuja quantidade inicial não foi informada não tem mortalidade, e exibir zero nos dois casos faria o</w:t>
      </w:r>
      <w:r>
        <w:t xml:space="preserve"> </w:t>
      </w:r>
      <w:r>
        <w:t xml:space="preserve">segundo parecer saudável.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pendências"/>
    <w:p>
      <w:pPr>
        <w:pStyle w:val="Heading2"/>
      </w:pPr>
      <w:r>
        <w:t xml:space="preserve">4.9.7 Dependências</w:t>
      </w:r>
    </w:p>
    <w:p>
      <w:pPr>
        <w:pStyle w:val="FirstParagraph"/>
      </w:pPr>
      <w:r>
        <w:t xml:space="preserve">Nenhum indicador funciona sem seus dados de origem. A tabela registra o que precisa existir antes de</w:t>
      </w:r>
      <w:r>
        <w:t xml:space="preserve"> </w:t>
      </w:r>
      <w:r>
        <w:t xml:space="preserve">cada um passar a ter significado.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IND-01</w:t>
            </w:r>
          </w:p>
        </w:tc>
        <w:tc>
          <w:tcPr/>
          <w:p>
            <w:pPr>
              <w:pStyle w:val="Compact"/>
            </w:pPr>
            <w:r>
              <w:t xml:space="preserve">Lote criado com quantidade inicial correta, e perda registrada como movimento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IND-02</w:t>
            </w:r>
          </w:p>
        </w:tc>
        <w:tc>
          <w:tcPr/>
          <w:p>
            <w:pPr>
              <w:pStyle w:val="Compact"/>
            </w:pPr>
            <w:r>
              <w:t xml:space="preserve">Protocolo montado para o recipiente, e etapas sendo concluídas na agenda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IND-03</w:t>
            </w:r>
          </w:p>
        </w:tc>
        <w:tc>
          <w:tcPr/>
          <w:p>
            <w:pPr>
              <w:pStyle w:val="Compact"/>
            </w:pPr>
            <w:r>
              <w:t xml:space="preserve">Áreas e canteiros cadastrados, e lote sempre criado com canteiro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IND-02 é o que mais depende de disciplina, e não de dado.</w:t>
      </w:r>
      <w:r>
        <w:t xml:space="preserve"> </w:t>
      </w:r>
      <w:r>
        <w:t xml:space="preserve">Os outros dois funcionam com o que a</w:t>
      </w:r>
      <w:r>
        <w:t xml:space="preserve"> </w:t>
      </w:r>
      <w:r>
        <w:t xml:space="preserve">operação já registra ao criar lote e ao lançar perda. Este exige que alguém tenha montado o</w:t>
      </w:r>
      <w:r>
        <w:t xml:space="preserve"> </w:t>
      </w:r>
      <w:r>
        <w:t xml:space="preserve">protocolo do recipiente e que a agenda esteja sendo confirmada: sem as duas coisas, todo lote</w:t>
      </w:r>
      <w:r>
        <w:t xml:space="preserve"> </w:t>
      </w:r>
      <w:r>
        <w:t xml:space="preserve">aparece saudável, e a tela que existe para mostrar o esquecimento passa a escondê-lo.</w:t>
      </w:r>
    </w:p>
    <w:p>
      <w:pPr>
        <w:pStyle w:val="BodyText"/>
      </w:pPr>
      <w:r>
        <w:rPr>
          <w:b/>
          <w:bCs/>
        </w:rPr>
        <w:t xml:space="preserve">Nenhum indicador foi criado para a agenda de pessoal</w:t>
      </w:r>
      <w:r>
        <w:t xml:space="preserve">, e a ausência é deliberada. Horas por</w:t>
      </w:r>
      <w:r>
        <w:t xml:space="preserve"> </w:t>
      </w:r>
      <w:r>
        <w:t xml:space="preserve">espécie, planejado contra realizado e percentual de tarefas não confirmadas são medidas possíveis, e</w:t>
      </w:r>
      <w:r>
        <w:t xml:space="preserve"> </w:t>
      </w:r>
      <w:r>
        <w:t xml:space="preserve">nenhuma delas tem hoje meta, faixa ou responsável definidos. Ficha sem meta é tabela, não indicador,</w:t>
      </w:r>
      <w:r>
        <w:t xml:space="preserve"> </w:t>
      </w:r>
      <w:r>
        <w:t xml:space="preserve">e a meta inventada é pior que a ausência dela. A decisão se reabre quando houver semana registrada</w:t>
      </w:r>
      <w:r>
        <w:t xml:space="preserve"> </w:t>
      </w:r>
      <w:r>
        <w:t xml:space="preserve">para medir.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2026-09-16T15:26:07Z</dcterms:created>
  <dcterms:modified xsi:type="dcterms:W3CDTF">2026-09-16T15:26:07Z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