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mo-montar-o-tcc-a-partir-desta-pasta"/>
    <w:p>
      <w:pPr>
        <w:pStyle w:val="Heading1"/>
      </w:pPr>
      <w:r>
        <w:t xml:space="preserve">Como montar o TCC a partir desta pasta</w:t>
      </w:r>
    </w:p>
    <w:p>
      <w:pPr>
        <w:pStyle w:val="BlockText"/>
      </w:pPr>
      <w:r>
        <w:rPr>
          <w:b/>
          <w:bCs/>
        </w:rPr>
        <w:t xml:space="preserve">Pasta gerada automaticamente.</w:t>
      </w:r>
      <w:r>
        <w:t xml:space="preserve"> </w:t>
      </w:r>
      <w:r>
        <w:t xml:space="preserve">Não edite nada aqui, edite o artefato de origem em</w:t>
      </w:r>
      <w:r>
        <w:t xml:space="preserve"> </w:t>
      </w:r>
      <w:r>
        <w:rPr>
          <w:rStyle w:val="VerbatimChar"/>
        </w:rPr>
        <w:t xml:space="preserve">docs/engenharia/</w:t>
      </w:r>
      <w:r>
        <w:t xml:space="preserve"> </w:t>
      </w:r>
      <w:r>
        <w:t xml:space="preserve">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 Qualquer edição feita nesta pasta é</w:t>
      </w:r>
      <w:r>
        <w:t xml:space="preserve"> </w:t>
      </w:r>
      <w:r>
        <w:t xml:space="preserve">perdida na próxima geração.</w:t>
      </w:r>
    </w:p>
    <w:p>
      <w:pPr>
        <w:pStyle w:val="FirstParagraph"/>
      </w:pPr>
      <w:r>
        <w:t xml:space="preserve">Gerado a partir dos artefatos vigentes · 17 arquivos · 15 figuras.</w:t>
      </w:r>
    </w:p>
    <w:bookmarkStart w:id="9" w:name="ordem-de-colagem-no-capítulo-4"/>
    <w:p>
      <w:pPr>
        <w:pStyle w:val="Heading2"/>
      </w:pPr>
      <w:r>
        <w:t xml:space="preserve">Ordem de colagem no Capítulo 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4.1-visao-geral-da-solucao.md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4.1 Visão geral da solução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4.2-requisitos.md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4.2 Requisitos do sistema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4.3-regras-de-negocio.md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4.3 Regras de negócio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4.4-modelagem-do-sistema.md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4.4 Modelagem do sistema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4.5-modelagem-de-dados.md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4.5 Modelagem de dados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4.6-arquitetura.md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4.6 Arquitetura da solução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4.7-seguranca-e-controle-de-acesso.md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4.7 Segurança e controle de acesso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4.8-verificacao-e-validacao.md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4.8 Verificação e validação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4.9-indicadores-de-desempenho.md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4.9 Indicadores de desempenho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4.10-rastreabilidade.md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4.10 Rastreabilidade</w:t>
      </w:r>
    </w:p>
    <w:bookmarkEnd w:id="9"/>
    <w:bookmarkStart w:id="10" w:name="fora-do-capítulo-4"/>
    <w:p>
      <w:pPr>
        <w:pStyle w:val="Heading2"/>
      </w:pPr>
      <w:r>
        <w:t xml:space="preserve">Fora do Capítulo 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cap2-acrescimos-referencial.md</w:t>
      </w:r>
      <w:r>
        <w:t xml:space="preserve"> </w:t>
      </w:r>
      <w:r>
        <w:t xml:space="preserve">→ Capítulo 2.5, Acréscimos ao referencial teórico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cap3-analise-de-riscos.md</w:t>
      </w:r>
      <w:r>
        <w:t xml:space="preserve"> </w:t>
      </w:r>
      <w:r>
        <w:t xml:space="preserve">→ Capítulo 3, Análise de riscos do projeto</w:t>
      </w:r>
    </w:p>
    <w:p>
      <w:pPr>
        <w:pStyle w:val="BlockText"/>
      </w:pPr>
      <w:r>
        <w:rPr>
          <w:rStyle w:val="VerbatimChar"/>
          <w:b/>
          <w:bCs/>
        </w:rPr>
        <w:t xml:space="preserve">cap2-acrescimos-referencial.md</w:t>
      </w:r>
      <w:r>
        <w:rPr>
          <w:b/>
          <w:bCs/>
        </w:rPr>
        <w:t xml:space="preserve"> </w:t>
      </w:r>
      <w:r>
        <w:rPr>
          <w:b/>
          <w:bCs/>
        </w:rPr>
        <w:t xml:space="preserve">deve ser colado antes do Capítulo 4.</w:t>
      </w:r>
      <w:r>
        <w:t xml:space="preserve"> </w:t>
      </w:r>
      <w:r>
        <w:t xml:space="preserve">Os artefatos de LGPD e</w:t>
      </w:r>
      <w:r>
        <w:t xml:space="preserve"> </w:t>
      </w:r>
      <w:r>
        <w:t xml:space="preserve">de backup apresentam, nos resultados, conteúdo que o referencial atual não fundamenta. Sem esse</w:t>
      </w:r>
      <w:r>
        <w:t xml:space="preserve"> </w:t>
      </w:r>
      <w:r>
        <w:t xml:space="preserve">acréscimo, o Capítulo 4 afirma o que o Capítulo 2 não sustenta.</w:t>
      </w:r>
    </w:p>
    <w:p>
      <w:pPr>
        <w:pStyle w:val="BlockText"/>
      </w:pPr>
      <w:r>
        <w:rPr>
          <w:b/>
          <w:bCs/>
        </w:rPr>
        <w:t xml:space="preserve">Análise de riscos não pertence ao Capítulo 4.</w:t>
      </w:r>
      <w:r>
        <w:t xml:space="preserve"> </w:t>
      </w:r>
      <w:r>
        <w:t xml:space="preserve">É elemento de metodologia: cabe como seção</w:t>
      </w:r>
      <w:r>
        <w:t xml:space="preserve"> </w:t>
      </w:r>
      <w:r>
        <w:t xml:space="preserve">nova no Capítulo 3.</w:t>
      </w:r>
    </w:p>
    <w:p>
      <w:pPr>
        <w:pStyle w:val="BlockText"/>
      </w:pPr>
      <w:r>
        <w:rPr>
          <w:rStyle w:val="VerbatimChar"/>
          <w:b/>
          <w:bCs/>
        </w:rPr>
        <w:t xml:space="preserve">00-pre-textuais.md</w:t>
      </w:r>
      <w:r>
        <w:rPr>
          <w:b/>
          <w:bCs/>
        </w:rPr>
        <w:t xml:space="preserve"> </w:t>
      </w:r>
      <w:r>
        <w:rPr>
          <w:b/>
          <w:bCs/>
        </w:rPr>
        <w:t xml:space="preserve">vem antes de tudo.</w:t>
      </w:r>
      <w:r>
        <w:t xml:space="preserve"> </w:t>
      </w:r>
      <w:r>
        <w:t xml:space="preserve">Dedicatória, agradecimentos e epígrafe são os</w:t>
      </w:r>
      <w:r>
        <w:t xml:space="preserve"> </w:t>
      </w:r>
      <w:r>
        <w:t xml:space="preserve">primeiros elementos do trabalho, e os nomes próprios ali estão entre colchetes, à espera de</w:t>
      </w:r>
      <w:r>
        <w:t xml:space="preserve"> </w:t>
      </w:r>
      <w:r>
        <w:t xml:space="preserve">preenchimento.</w:t>
      </w:r>
    </w:p>
    <w:bookmarkEnd w:id="10"/>
    <w:bookmarkStart w:id="11" w:name="X89a73e06f1d8bdec09631151e52d59e11f57f14"/>
    <w:p>
      <w:pPr>
        <w:pStyle w:val="Heading2"/>
      </w:pPr>
      <w:r>
        <w:t xml:space="preserve">Montagem no Word: quebras de página e página em branco</w:t>
      </w:r>
    </w:p>
    <w:p>
      <w:pPr>
        <w:pStyle w:val="FirstParagraph"/>
      </w:pPr>
      <w:r>
        <w:rPr>
          <w:b/>
          <w:bCs/>
        </w:rPr>
        <w:t xml:space="preserve">Toda separação entre elementos é quebra de página, e nunca linha em branco.</w:t>
      </w:r>
      <w:r>
        <w:t xml:space="preserve"> </w:t>
      </w:r>
      <w:r>
        <w:t xml:space="preserve">Linha em branco</w:t>
      </w:r>
      <w:r>
        <w:t xml:space="preserve"> </w:t>
      </w:r>
      <w:r>
        <w:t xml:space="preserve">empurra o texto enquanto a página couber, e volta a subir assim que qualquer parágrafo acima muda</w:t>
      </w:r>
      <w:r>
        <w:t xml:space="preserve"> </w:t>
      </w:r>
      <w:r>
        <w:t xml:space="preserve">de tamanho. A quebra não se desfaz:</w:t>
      </w:r>
    </w:p>
    <w:p>
      <w:pPr>
        <w:pStyle w:val="Compact"/>
        <w:numPr>
          <w:ilvl w:val="0"/>
          <w:numId w:val="1003"/>
        </w:numPr>
      </w:pPr>
      <w:r>
        <w:t xml:space="preserve">Posicione o cursor no início do elemento que deve abrir página, e não no fim do anterior.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Ctrl+Enter</w:t>
      </w:r>
      <w:r>
        <w:t xml:space="preserve"> </w:t>
      </w:r>
      <w:r>
        <w:t xml:space="preserve">(Inserir → Quebra → Página).</w:t>
      </w:r>
    </w:p>
    <w:p>
      <w:pPr>
        <w:pStyle w:val="Compact"/>
        <w:numPr>
          <w:ilvl w:val="0"/>
          <w:numId w:val="1003"/>
        </w:numPr>
      </w:pPr>
      <w:r>
        <w:t xml:space="preserve">Cada um destes abre página própria: capa, folha de rosto, folha de aprovação, dedicatória,</w:t>
      </w:r>
      <w:r>
        <w:t xml:space="preserve"> </w:t>
      </w:r>
      <w:r>
        <w:t xml:space="preserve">agradecimentos, epígrafe, resumo, abstract, listas, sumário e cada capítulo.</w:t>
      </w:r>
    </w:p>
    <w:p>
      <w:pPr>
        <w:pStyle w:val="FirstParagraph"/>
      </w:pPr>
      <w:r>
        <w:rPr>
          <w:b/>
          <w:bCs/>
        </w:rPr>
        <w:t xml:space="preserve">Onde a numeração muda de romana para arábica, a quebra é de seção, e não de página.</w:t>
      </w:r>
      <w:r>
        <w:t xml:space="preserve"> </w:t>
      </w:r>
      <w:r>
        <w:t xml:space="preserve">Nos</w:t>
      </w:r>
      <w:r>
        <w:t xml:space="preserve"> </w:t>
      </w:r>
      <w:r>
        <w:t xml:space="preserve">pré-textuais a contagem corre sem número impresso, e a numeração visível começa na introdução. Use</w:t>
      </w:r>
      <w:r>
        <w:t xml:space="preserve"> </w:t>
      </w:r>
      <w:r>
        <w:t xml:space="preserve">Layout → Quebras →</w:t>
      </w:r>
      <w:r>
        <w:t xml:space="preserve"> </w:t>
      </w:r>
      <w:r>
        <w:rPr>
          <w:b/>
          <w:bCs/>
        </w:rPr>
        <w:t xml:space="preserve">Próxima Página</w:t>
      </w:r>
      <w:r>
        <w:t xml:space="preserve"> </w:t>
      </w:r>
      <w:r>
        <w:t xml:space="preserve">no ponto da virada, e no cabeçalho da nova seção desligue</w:t>
      </w:r>
      <w:r>
        <w:t xml:space="preserve"> </w:t>
      </w:r>
      <w:r>
        <w:rPr>
          <w:b/>
          <w:bCs/>
        </w:rPr>
        <w:t xml:space="preserve">Vincular ao Anterior</w:t>
      </w:r>
      <w:r>
        <w:t xml:space="preserve"> </w:t>
      </w:r>
      <w:r>
        <w:t xml:space="preserve">antes de reiniciar a numeração. Sem desligar o vínculo, mudar uma seção</w:t>
      </w:r>
      <w:r>
        <w:t xml:space="preserve"> </w:t>
      </w:r>
      <w:r>
        <w:t xml:space="preserve">muda a outra.</w:t>
      </w:r>
    </w:p>
    <w:p>
      <w:pPr>
        <w:pStyle w:val="BodyText"/>
      </w:pPr>
      <w:r>
        <w:rPr>
          <w:b/>
          <w:bCs/>
        </w:rPr>
        <w:t xml:space="preserve">A página em branco no meio do trabalho tem três causas, e todas se veem com Ctrl+asterisco</w:t>
      </w:r>
      <w:r>
        <w:t xml:space="preserve">, que</w:t>
      </w:r>
      <w:r>
        <w:t xml:space="preserve"> </w:t>
      </w:r>
      <w:r>
        <w:t xml:space="preserve">liga as marcas de formatação: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que aparece na tela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Como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¶ sozinho na página</w:t>
            </w:r>
          </w:p>
        </w:tc>
        <w:tc>
          <w:tcPr/>
          <w:p>
            <w:pPr>
              <w:pStyle w:val="Compact"/>
            </w:pPr>
            <w:r>
              <w:t xml:space="preserve">Parágrafo vazio sobrando ao fim do elemento anterior</w:t>
            </w:r>
          </w:p>
        </w:tc>
        <w:tc>
          <w:tcPr/>
          <w:p>
            <w:pPr>
              <w:pStyle w:val="Compact"/>
            </w:pPr>
            <w:r>
              <w:t xml:space="preserve">Apague o parágrafo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linha</w:t>
            </w:r>
            <w:r>
              <w:t xml:space="preserve"> </w:t>
            </w:r>
            <w:r>
              <w:t xml:space="preserve">“Quebra de seção (Página ímpar)”</w:t>
            </w:r>
          </w:p>
        </w:tc>
        <w:tc>
          <w:tcPr/>
          <w:p>
            <w:pPr>
              <w:pStyle w:val="Compact"/>
            </w:pPr>
            <w:r>
              <w:t xml:space="preserve">Quebra herdada do modelo, que salta a página par para o elemento abrir sempre à direita</w:t>
            </w:r>
          </w:p>
        </w:tc>
        <w:tc>
          <w:tcPr/>
          <w:p>
            <w:pPr>
              <w:pStyle w:val="Compact"/>
            </w:pPr>
            <w:r>
              <w:t xml:space="preserve">Se o trabalho não é impresso em frente e verso, troque por</w:t>
            </w:r>
            <w:r>
              <w:t xml:space="preserve"> </w:t>
            </w:r>
            <w:r>
              <w:rPr>
                <w:b/>
                <w:bCs/>
              </w:rPr>
              <w:t xml:space="preserve">Próxima 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Duas quebras seguidas</w:t>
            </w:r>
          </w:p>
        </w:tc>
        <w:tc>
          <w:tcPr/>
          <w:p>
            <w:pPr>
              <w:pStyle w:val="Compact"/>
            </w:pPr>
            <w:r>
              <w:t xml:space="preserve">Quebra de página inserida onde já havia quebra de seção</w:t>
            </w:r>
          </w:p>
        </w:tc>
        <w:tc>
          <w:tcPr/>
          <w:p>
            <w:pPr>
              <w:pStyle w:val="Compact"/>
            </w:pPr>
            <w:r>
              <w:t xml:space="preserve">Apague uma das duas</w:t>
            </w:r>
          </w:p>
        </w:tc>
      </w:tr>
    </w:tbl>
    <w:p>
      <w:pPr>
        <w:pStyle w:val="BodyText"/>
      </w:pPr>
      <w:r>
        <w:t xml:space="preserve">A terceira é a mais comum ao colar conteúdo vindo daqui, porque o Markdown traz o próprio espaço</w:t>
      </w:r>
      <w:r>
        <w:t xml:space="preserve"> </w:t>
      </w:r>
      <w:r>
        <w:t xml:space="preserve">entre seções e o Word soma o dele.</w:t>
      </w:r>
    </w:p>
    <w:p>
      <w:pPr>
        <w:pStyle w:val="BodyText"/>
      </w:pPr>
      <w:r>
        <w:rPr>
          <w:b/>
          <w:bCs/>
        </w:rPr>
        <w:t xml:space="preserve">Uma tabela grande também produz página em branco</w:t>
      </w:r>
      <w:r>
        <w:t xml:space="preserve">, quando não cabe no que resta da página e o</w:t>
      </w:r>
      <w:r>
        <w:t xml:space="preserve"> </w:t>
      </w:r>
      <w:r>
        <w:t xml:space="preserve">Word a empurra inteira. Em Propriedades da Tabela → Linha, desligue</w:t>
      </w:r>
      <w:r>
        <w:t xml:space="preserve"> </w:t>
      </w:r>
      <w:r>
        <w:t xml:space="preserve">“Permitir quebra de linha entre</w:t>
      </w:r>
      <w:r>
        <w:t xml:space="preserve"> </w:t>
      </w:r>
      <w:r>
        <w:t xml:space="preserve">páginas”</w:t>
      </w:r>
      <w:r>
        <w:t xml:space="preserve"> </w:t>
      </w:r>
      <w:r>
        <w:t xml:space="preserve">apenas se a tabela couber numa página; se não couber, deixe ligado e marque a primeira</w:t>
      </w:r>
      <w:r>
        <w:t xml:space="preserve"> </w:t>
      </w:r>
      <w:r>
        <w:t xml:space="preserve">linha como</w:t>
      </w:r>
      <w:r>
        <w:t xml:space="preserve"> </w:t>
      </w:r>
      <w:r>
        <w:rPr>
          <w:b/>
          <w:bCs/>
        </w:rPr>
        <w:t xml:space="preserve">Repetir como linha de cabeçalho</w:t>
      </w:r>
      <w:r>
        <w:t xml:space="preserve">.</w:t>
      </w:r>
    </w:p>
    <w:bookmarkEnd w:id="11"/>
    <w:bookmarkStart w:id="12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apendice-A-glossario.md</w:t>
      </w:r>
      <w:r>
        <w:t xml:space="preserve"> </w:t>
      </w:r>
      <w:r>
        <w:t xml:space="preserve">→ Apêndice A, Glossário do domínio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apendice-B-dicionario-de-dados.md</w:t>
      </w:r>
      <w:r>
        <w:t xml:space="preserve"> </w:t>
      </w:r>
      <w:r>
        <w:t xml:space="preserve">→ Apêndice B, Dicionário de dados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apendice-C-casos-de-teste.md</w:t>
      </w:r>
      <w:r>
        <w:t xml:space="preserve"> </w:t>
      </w:r>
      <w:r>
        <w:t xml:space="preserve">→ Apêndice C, Casos de teste de aceite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apendice-D-quadros.md</w:t>
      </w:r>
      <w:r>
        <w:t xml:space="preserve"> </w:t>
      </w:r>
      <w:r>
        <w:t xml:space="preserve">→ Apêndice D, Quadros de regras de negócio e requisitos</w:t>
      </w:r>
    </w:p>
    <w:p>
      <w:pPr>
        <w:pStyle w:val="FirstParagraph"/>
      </w:pPr>
      <w:r>
        <w:t xml:space="preserve">Estes quatro são longos demais para o corpo do texto. A recomendação é apresentar, no capítulo,</w:t>
      </w:r>
      <w:r>
        <w:t xml:space="preserve"> </w:t>
      </w:r>
      <w:r>
        <w:t xml:space="preserve">uma amostra de duas ou três tabelas e remeter ao apêndice para o restante.</w:t>
      </w:r>
    </w:p>
    <w:bookmarkEnd w:id="12"/>
    <w:bookmarkStart w:id="15" w:name="figuras"/>
    <w:p>
      <w:pPr>
        <w:pStyle w:val="Heading2"/>
      </w:pPr>
      <w:r>
        <w:t xml:space="preserve">Figuras</w:t>
      </w:r>
    </w:p>
    <w:p>
      <w:pPr>
        <w:pStyle w:val="FirstParagraph"/>
      </w:pPr>
      <w:r>
        <w:t xml:space="preserve">Todas em</w:t>
      </w:r>
      <w:r>
        <w:t xml:space="preserve"> </w:t>
      </w:r>
      <w:r>
        <w:rPr>
          <w:rStyle w:val="VerbatimChar"/>
        </w:rPr>
        <w:t xml:space="preserve">img/</w:t>
      </w:r>
      <w:r>
        <w:t xml:space="preserve">, numeradas em sequência contínua (Figura 1 a Figura 15) e já referenciadas</w:t>
      </w:r>
      <w:r>
        <w:t xml:space="preserve"> </w:t>
      </w:r>
      <w:r>
        <w:t xml:space="preserve">no texto de cada arquivo, com legenda no padrão ABNT abaixo da imagem.</w:t>
      </w:r>
    </w:p>
    <w:p>
      <w:pPr>
        <w:pStyle w:val="BlockText"/>
      </w:pPr>
      <w:r>
        <w:rPr>
          <w:b/>
          <w:bCs/>
        </w:rPr>
        <w:t xml:space="preserve">As figuras da seção 4.5 são substituídas à mão.</w:t>
      </w:r>
      <w:r>
        <w:t xml:space="preserve"> </w:t>
      </w:r>
      <w:r>
        <w:t xml:space="preserve">As que este script gera saem do Mermaid do</w:t>
      </w:r>
      <w:r>
        <w:t xml:space="preserve"> </w:t>
      </w:r>
      <w:r>
        <w:rPr>
          <w:rStyle w:val="VerbatimChar"/>
        </w:rPr>
        <w:t xml:space="preserve">C6</w:t>
      </w:r>
      <w:r>
        <w:t xml:space="preserve">, num recorte largo demais para a página. Para o trabalho impresso, use as de</w:t>
      </w:r>
      <w:r>
        <w:t xml:space="preserve"> </w:t>
      </w:r>
      <w:hyperlink r:id="rId13">
        <w:r>
          <w:rPr>
            <w:rStyle w:val="VerbatimChar"/>
          </w:rPr>
          <w:t xml:space="preserve">modelo-dados-pt/img/</w:t>
        </w:r>
      </w:hyperlink>
      <w:r>
        <w:t xml:space="preserve">, que são o mesmo modelo, com os mesmos nomes,</w:t>
      </w:r>
      <w:r>
        <w:t xml:space="preserve"> </w:t>
      </w:r>
      <w:r>
        <w:t xml:space="preserve">em recortes que cabem na mancha de 16 x 24 cm. São doze no lugar das do C6, e o</w:t>
      </w:r>
      <w:r>
        <w:t xml:space="preserve"> </w:t>
      </w:r>
      <w:hyperlink r:id="rId14">
        <w:r>
          <w:rPr>
            <w:rStyle w:val="VerbatimChar"/>
          </w:rPr>
          <w:t xml:space="preserve">README</w:t>
        </w:r>
      </w:hyperlink>
      <w:r>
        <w:t xml:space="preserve"> </w:t>
      </w:r>
      <w:r>
        <w:t xml:space="preserve">de lá traz a fonte útil medida de cada uma e o</w:t>
      </w:r>
      <w:r>
        <w:t xml:space="preserve"> </w:t>
      </w:r>
      <w:r>
        <w:t xml:space="preserve">deslocamento de numeração que a troca causa nas seções seguintes.</w:t>
      </w:r>
    </w:p>
    <w:p>
      <w:pPr>
        <w:pStyle w:val="FirstParagraph"/>
      </w:pPr>
      <w:r>
        <w:t xml:space="preserve">Ao colar no Word:</w:t>
      </w:r>
    </w:p>
    <w:p>
      <w:pPr>
        <w:pStyle w:val="Compact"/>
        <w:numPr>
          <w:ilvl w:val="0"/>
          <w:numId w:val="1005"/>
        </w:numPr>
      </w:pPr>
      <w:r>
        <w:t xml:space="preserve">Insira a imagem por</w:t>
      </w:r>
      <w:r>
        <w:t xml:space="preserve"> </w:t>
      </w:r>
      <w:r>
        <w:rPr>
          <w:b/>
          <w:bCs/>
        </w:rPr>
        <w:t xml:space="preserve">Inserir → Imagens → Este dispositivo</w:t>
      </w:r>
      <w:r>
        <w:t xml:space="preserve">, apontando para o arquivo em</w:t>
      </w:r>
      <w:r>
        <w:t xml:space="preserve"> </w:t>
      </w:r>
      <w:r>
        <w:rPr>
          <w:rStyle w:val="VerbatimChar"/>
        </w:rPr>
        <w:t xml:space="preserve">img/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Aplique</w:t>
      </w:r>
      <w:r>
        <w:t xml:space="preserve"> </w:t>
      </w:r>
      <w:r>
        <w:rPr>
          <w:b/>
          <w:bCs/>
        </w:rPr>
        <w:t xml:space="preserve">Inserir legenda</w:t>
      </w:r>
      <w:r>
        <w:t xml:space="preserve"> </w:t>
      </w:r>
      <w:r>
        <w:t xml:space="preserve">na figura, para que o Word mantenha a numeração automática e permita</w:t>
      </w:r>
      <w:r>
        <w:t xml:space="preserve"> </w:t>
      </w:r>
      <w:r>
        <w:t xml:space="preserve">gerar a lista de figuras. A legenda já está escrita no texto, use-a como conteúdo.</w:t>
      </w:r>
    </w:p>
    <w:p>
      <w:pPr>
        <w:pStyle w:val="Compact"/>
        <w:numPr>
          <w:ilvl w:val="0"/>
          <w:numId w:val="1005"/>
        </w:numPr>
      </w:pPr>
      <w:r>
        <w:t xml:space="preserve">Confira a largura: as imagens foram geradas a 1400 px e devem ser reduzidas à largura da mancha</w:t>
      </w:r>
      <w:r>
        <w:t xml:space="preserve"> </w:t>
      </w:r>
      <w:r>
        <w:t xml:space="preserve">de texto.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Lista de Figuras</w:t>
      </w:r>
      <w:r>
        <w:t xml:space="preserve"> </w:t>
      </w:r>
      <w:r>
        <w:t xml:space="preserve">do trabalho passa a ser obrigatória: o próprio modelo indica que a lista é</w:t>
      </w:r>
      <w:r>
        <w:t xml:space="preserve"> </w:t>
      </w:r>
      <w:r>
        <w:t xml:space="preserve">exigida acima de cinco figuras.</w:t>
      </w:r>
    </w:p>
    <w:bookmarkEnd w:id="15"/>
    <w:bookmarkStart w:id="16" w:name="tabelas"/>
    <w:p>
      <w:pPr>
        <w:pStyle w:val="Heading2"/>
      </w:pPr>
      <w:r>
        <w:t xml:space="preserve">Tabelas</w:t>
      </w:r>
    </w:p>
    <w:p>
      <w:pPr>
        <w:pStyle w:val="FirstParagraph"/>
      </w:pPr>
      <w:r>
        <w:t xml:space="preserve">As tabelas vêm em Markdown. Ao colar no Word, o formato mais confiável é:</w:t>
      </w:r>
    </w:p>
    <w:p>
      <w:pPr>
        <w:pStyle w:val="Compact"/>
        <w:numPr>
          <w:ilvl w:val="0"/>
          <w:numId w:val="1006"/>
        </w:numPr>
      </w:pPr>
      <w:r>
        <w:t xml:space="preserve">Copiar a tabela do arquivo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 Word, colar como</w:t>
      </w:r>
      <w:r>
        <w:t xml:space="preserve"> </w:t>
      </w:r>
      <w:r>
        <w:rPr>
          <w:b/>
          <w:bCs/>
        </w:rPr>
        <w:t xml:space="preserve">texto sem formatação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Selecionar o bloco e usar</w:t>
      </w:r>
      <w:r>
        <w:t xml:space="preserve"> </w:t>
      </w:r>
      <w:r>
        <w:rPr>
          <w:b/>
          <w:bCs/>
        </w:rPr>
        <w:t xml:space="preserve">Inserir → Tabela → Converter texto em tabela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como</w:t>
      </w:r>
      <w:r>
        <w:t xml:space="preserve"> </w:t>
      </w:r>
      <w:r>
        <w:t xml:space="preserve">separador.</w:t>
      </w:r>
    </w:p>
    <w:p>
      <w:pPr>
        <w:pStyle w:val="Compact"/>
        <w:numPr>
          <w:ilvl w:val="0"/>
          <w:numId w:val="1006"/>
        </w:numPr>
      </w:pPr>
      <w:r>
        <w:t xml:space="preserve">Remover a linha de traços (</w:t>
      </w:r>
      <w:r>
        <w:rPr>
          <w:rStyle w:val="VerbatimChar"/>
        </w:rPr>
        <w:t xml:space="preserve">|---|---|</w:t>
      </w:r>
      <w:r>
        <w:t xml:space="preserve">), que é sintaxe do Markdown e não conteúdo.</w:t>
      </w:r>
    </w:p>
    <w:bookmarkEnd w:id="16"/>
    <w:bookmarkStart w:id="17" w:name="a-pasta-docx"/>
    <w:p>
      <w:pPr>
        <w:pStyle w:val="Heading2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docx/</w:t>
      </w:r>
    </w:p>
    <w:p>
      <w:pPr>
        <w:pStyle w:val="FirstParagraph"/>
      </w:pPr>
      <w:r>
        <w:t xml:space="preserve">Quem preferir não colar Markdown pode abrir os arquivos de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, que são os mesmos textos já</w:t>
      </w:r>
      <w:r>
        <w:t xml:space="preserve"> </w:t>
      </w:r>
      <w:r>
        <w:t xml:space="preserve">convertidos. Ali as tabelas chegam prontas, as figuras vêm embutidas e os títulos usam os estilos</w:t>
      </w:r>
      <w:r>
        <w:t xml:space="preserve"> </w:t>
      </w:r>
      <w:r>
        <w:t xml:space="preserve">de título do Word, o que faz o sumário automático funcionar. Abra o arquivo, selecione tudo e cole</w:t>
      </w:r>
      <w:r>
        <w:t xml:space="preserve"> </w:t>
      </w:r>
      <w:r>
        <w:t xml:space="preserve">no documento do trabalho, que tem o modelo da instituição.</w:t>
      </w:r>
    </w:p>
    <w:p>
      <w:pPr>
        <w:pStyle w:val="BodyText"/>
      </w:pPr>
      <w:r>
        <w:t xml:space="preserve">A pasta é gerada junto com o resto, e depende do</w:t>
      </w:r>
      <w:r>
        <w:t xml:space="preserve"> </w:t>
      </w:r>
      <w:r>
        <w:rPr>
          <w:b/>
          <w:bCs/>
        </w:rPr>
        <w:t xml:space="preserve">Pandoc</w:t>
      </w:r>
      <w:r>
        <w:t xml:space="preserve">. Sem ele a conversão é pulada, e o</w:t>
      </w:r>
      <w:r>
        <w:t xml:space="preserve"> </w:t>
      </w:r>
      <w:r>
        <w:t xml:space="preserve">aviso aparece no fim da execução. Para instalar:</w:t>
      </w:r>
    </w:p>
    <w:p>
      <w:pPr>
        <w:pStyle w:val="SourceCode"/>
      </w:pPr>
      <w:r>
        <w:rPr>
          <w:rStyle w:val="VerbatimChar"/>
        </w:rPr>
        <w:t xml:space="preserve">winget install --id JohnMacFarlane.Pandoc</w:t>
      </w:r>
    </w:p>
    <w:p>
      <w:pPr>
        <w:pStyle w:val="BlockText"/>
      </w:pPr>
      <w:r>
        <w:rPr>
          <w:b/>
          <w:bCs/>
        </w:rPr>
        <w:t xml:space="preserve">Colar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 </w:t>
      </w:r>
      <w:r>
        <w:rPr>
          <w:b/>
          <w:bCs/>
        </w:rPr>
        <w:t xml:space="preserve">traz os estilos do Pandoc junto.</w:t>
      </w:r>
      <w:r>
        <w:t xml:space="preserve"> </w:t>
      </w:r>
      <w:r>
        <w:t xml:space="preserve">Ao colar, use</w:t>
      </w:r>
      <w:r>
        <w:t xml:space="preserve"> </w:t>
      </w:r>
      <w:r>
        <w:rPr>
          <w:b/>
          <w:bCs/>
        </w:rPr>
        <w:t xml:space="preserve">Colar Especial</w:t>
      </w:r>
      <w:r>
        <w:t xml:space="preserve"> </w:t>
      </w:r>
      <w:r>
        <w:t xml:space="preserve">e escolha</w:t>
      </w:r>
      <w:r>
        <w:t xml:space="preserve"> </w:t>
      </w:r>
      <w:r>
        <w:t xml:space="preserve">mesclar a formatação de destino, para que os títulos assumam os estilos do modelo da instituição</w:t>
      </w:r>
      <w:r>
        <w:t xml:space="preserve"> </w:t>
      </w:r>
      <w:r>
        <w:t xml:space="preserve">e não os padrões do Pandoc. Sem isso o sumário sai com a fonte errada.</w:t>
      </w:r>
    </w:p>
    <w:bookmarkEnd w:id="17"/>
    <w:bookmarkStart w:id="18" w:name="conferência-antes-de-entregar"/>
    <w:p>
      <w:pPr>
        <w:pStyle w:val="Heading2"/>
      </w:pPr>
      <w:r>
        <w:t xml:space="preserve">Conferência antes de entregar</w:t>
      </w:r>
    </w:p>
    <w:p>
      <w:pPr>
        <w:pStyle w:val="Compact"/>
        <w:numPr>
          <w:ilvl w:val="0"/>
          <w:numId w:val="1007"/>
        </w:numPr>
      </w:pPr>
      <w:r>
        <w:t xml:space="preserve">Numeração das figuras contínua e coerente com a Lista de Figuras</w:t>
      </w:r>
    </w:p>
    <w:p>
      <w:pPr>
        <w:pStyle w:val="Compact"/>
        <w:numPr>
          <w:ilvl w:val="0"/>
          <w:numId w:val="1008"/>
        </w:numPr>
      </w:pPr>
      <w:r>
        <w:t xml:space="preserve">Figuras da seção 4.5 trocadas pelas de</w:t>
      </w:r>
      <w:r>
        <w:t xml:space="preserve"> </w:t>
      </w:r>
      <w:r>
        <w:rPr>
          <w:rStyle w:val="VerbatimChar"/>
        </w:rPr>
        <w:t xml:space="preserve">modelo-dados-pt/</w:t>
      </w:r>
      <w:r>
        <w:t xml:space="preserve">, e a numeração seguinte ajustada</w:t>
      </w:r>
    </w:p>
    <w:p>
      <w:pPr>
        <w:pStyle w:val="Compact"/>
        <w:numPr>
          <w:ilvl w:val="0"/>
          <w:numId w:val="1009"/>
        </w:numPr>
      </w:pPr>
      <w:r>
        <w:t xml:space="preserve">Todas as tabelas cabem na largura da página, sem corte</w:t>
      </w:r>
    </w:p>
    <w:p>
      <w:pPr>
        <w:pStyle w:val="Compact"/>
        <w:numPr>
          <w:ilvl w:val="0"/>
          <w:numId w:val="1010"/>
        </w:numPr>
      </w:pPr>
      <w:r>
        <w:t xml:space="preserve">Figuras legíveis em escala de cinza, caso a impressão seja monocromática</w:t>
      </w:r>
    </w:p>
    <w:p>
      <w:pPr>
        <w:pStyle w:val="Compact"/>
        <w:numPr>
          <w:ilvl w:val="0"/>
          <w:numId w:val="1011"/>
        </w:numPr>
      </w:pPr>
      <w:r>
        <w:t xml:space="preserve">Referência da Lei nº 13.709/2018 inserida na seção REFERÊNCIAS</w:t>
      </w:r>
    </w:p>
    <w:p>
      <w:pPr>
        <w:pStyle w:val="Compact"/>
        <w:numPr>
          <w:ilvl w:val="0"/>
          <w:numId w:val="1012"/>
        </w:numPr>
      </w:pPr>
      <w:r>
        <w:t xml:space="preserve">Análise de riscos posicionada no Capítulo 3, não no 4</w:t>
      </w:r>
    </w:p>
    <w:p>
      <w:pPr>
        <w:pStyle w:val="Compact"/>
        <w:numPr>
          <w:ilvl w:val="0"/>
          <w:numId w:val="1013"/>
        </w:numPr>
      </w:pPr>
      <w:r>
        <w:t xml:space="preserve">Nomes entre colchetes dos pré-textuais substituídos</w:t>
      </w:r>
    </w:p>
    <w:p>
      <w:pPr>
        <w:pStyle w:val="Compact"/>
        <w:numPr>
          <w:ilvl w:val="0"/>
          <w:numId w:val="1014"/>
        </w:numPr>
      </w:pPr>
      <w:r>
        <w:t xml:space="preserve">Nenhuma página em branco: conferir com Ctrl+asterisco, de ponta a ponta</w:t>
      </w:r>
    </w:p>
    <w:p>
      <w:pPr>
        <w:pStyle w:val="Compact"/>
        <w:numPr>
          <w:ilvl w:val="0"/>
          <w:numId w:val="1015"/>
        </w:numPr>
      </w:pPr>
      <w:r>
        <w:t xml:space="preserve">Toda separação de elemento é quebra de página, e nenhuma é linha em branco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modelo-dados-pt/README.md" TargetMode="External" /><Relationship Type="http://schemas.openxmlformats.org/officeDocument/2006/relationships/hyperlink" Id="rId13" Target="../modelo-dados-pt/im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modelo-dados-pt/README.md" TargetMode="External" /><Relationship Type="http://schemas.openxmlformats.org/officeDocument/2006/relationships/hyperlink" Id="rId13" Target="../modelo-dados-pt/im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2026-09-16T15:26:03Z</dcterms:created>
  <dcterms:modified xsi:type="dcterms:W3CDTF">2026-09-16T15:26:03Z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