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9925415d1db08f88a8cceef49686c77b530f5e5"/>
    <w:p>
      <w:pPr>
        <w:pStyle w:val="Heading1"/>
      </w:pPr>
      <w:r>
        <w:t xml:space="preserve">Capítulo 2.5, Acréscimos ao referencial teórico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E-qualidade/E5-E6-referencial-cap2.md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onde-entra"/>
    <w:p>
      <w:pPr>
        <w:pStyle w:val="Heading2"/>
      </w:pPr>
      <w:r>
        <w:t xml:space="preserve">Onde entra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Trecho</w:t>
            </w:r>
          </w:p>
        </w:tc>
        <w:tc>
          <w:tcPr/>
          <w:p>
            <w:pPr>
              <w:pStyle w:val="Compact"/>
            </w:pPr>
            <w:r>
              <w:t xml:space="preserve">Posição sugerida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2.5.3 Proteção de dados pessoais</w:t>
            </w:r>
          </w:p>
        </w:tc>
        <w:tc>
          <w:tcPr/>
          <w:p>
            <w:pPr>
              <w:pStyle w:val="Compact"/>
            </w:pPr>
            <w:r>
              <w:t xml:space="preserve">Subseção nova, após 2.5.2 (Autenticação e controle de acesso)</w:t>
            </w:r>
          </w:p>
        </w:tc>
        <w:tc>
          <w:tcPr/>
          <w:p>
            <w:pPr>
              <w:pStyle w:val="Compact"/>
            </w:pPr>
            <w:r>
              <w:t xml:space="preserve">Fundamenta o artefato E5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Parágrafo sobre continuidade</w:t>
            </w:r>
          </w:p>
        </w:tc>
        <w:tc>
          <w:tcPr/>
          <w:p>
            <w:pPr>
              <w:pStyle w:val="Compact"/>
            </w:pPr>
            <w:r>
              <w:t xml:space="preserve">Acrescentar ao final de 2.5, antes de 2.5.1</w:t>
            </w:r>
          </w:p>
        </w:tc>
        <w:tc>
          <w:tcPr/>
          <w:p>
            <w:pPr>
              <w:pStyle w:val="Compact"/>
            </w:pPr>
            <w:r>
              <w:t xml:space="preserve">Fundamenta o artefato E6; complementa o controle de</w:t>
            </w:r>
            <w:r>
              <w:t xml:space="preserve"> </w:t>
            </w:r>
            <w:r>
              <w:t xml:space="preserve">“limitação de exposição e recuperação”</w:t>
            </w:r>
            <w:r>
              <w:t xml:space="preserve"> </w:t>
            </w:r>
            <w:r>
              <w:t xml:space="preserve">que o texto atual já cita de Sommerville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teção-de-dados-pessoais"/>
    <w:p>
      <w:pPr>
        <w:pStyle w:val="Heading2"/>
      </w:pPr>
      <w:r>
        <w:t xml:space="preserve">2.5.3 Proteção de dados pessoais</w:t>
      </w:r>
    </w:p>
    <w:p>
      <w:pPr>
        <w:pStyle w:val="BlockText"/>
      </w:pPr>
      <w:r>
        <w:t xml:space="preserve">Colar como subseção nova.</w:t>
      </w:r>
    </w:p>
    <w:p>
      <w:pPr>
        <w:pStyle w:val="FirstParagraph"/>
      </w:pPr>
      <w:r>
        <w:t xml:space="preserve">A proteção da informação em sistemas que manipulam dados de pessoas identificadas não se restringe a</w:t>
      </w:r>
      <w:r>
        <w:t xml:space="preserve"> </w:t>
      </w:r>
      <w:r>
        <w:t xml:space="preserve">uma escolha técnica: no ordenamento brasileiro, constitui obrigação legal. A Lei nº 13.709, de 14 de</w:t>
      </w:r>
      <w:r>
        <w:t xml:space="preserve"> </w:t>
      </w:r>
      <w:r>
        <w:t xml:space="preserve">agosto de 2018, conhecida como Lei Geral de Proteção de Dados Pessoais, dispõe sobre o tratamento de</w:t>
      </w:r>
      <w:r>
        <w:t xml:space="preserve"> </w:t>
      </w:r>
      <w:r>
        <w:t xml:space="preserve">dados pessoais, inclusive nos meios digitais, com o objetivo de proteger os direitos fundamentais de</w:t>
      </w:r>
      <w:r>
        <w:t xml:space="preserve"> </w:t>
      </w:r>
      <w:r>
        <w:t xml:space="preserve">liberdade e de privacidade (Brasil, 2018). A lei define dado pessoal como aquele relativo a pessoa</w:t>
      </w:r>
      <w:r>
        <w:t xml:space="preserve"> </w:t>
      </w:r>
      <w:r>
        <w:t xml:space="preserve">natural identificada ou identificável, e estabelece que todo tratamento deve apoiar-se em uma das</w:t>
      </w:r>
      <w:r>
        <w:t xml:space="preserve"> </w:t>
      </w:r>
      <w:r>
        <w:t xml:space="preserve">bases legais previstas em seu art. 7º, entre as quais figuram o consentimento do titular, o</w:t>
      </w:r>
      <w:r>
        <w:t xml:space="preserve"> </w:t>
      </w:r>
      <w:r>
        <w:t xml:space="preserve">cumprimento de obrigação legal ou regulatória, a execução de contrato e o legítimo interesse do</w:t>
      </w:r>
      <w:r>
        <w:t xml:space="preserve"> </w:t>
      </w:r>
      <w:r>
        <w:t xml:space="preserve">controlador.</w:t>
      </w:r>
    </w:p>
    <w:p>
      <w:pPr>
        <w:pStyle w:val="BodyText"/>
      </w:pPr>
      <w:r>
        <w:t xml:space="preserve">Entre os princípios que regem o tratamento, destacam-se, para o projeto de sistemas de informação, os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finalidade</w:t>
      </w:r>
      <w:r>
        <w:t xml:space="preserve">, que exige propósito legítimo e específico informado ao titular; da</w:t>
      </w:r>
      <w:r>
        <w:t xml:space="preserve"> </w:t>
      </w:r>
      <w:r>
        <w:rPr>
          <w:b/>
          <w:bCs/>
        </w:rPr>
        <w:t xml:space="preserve">necessidade</w:t>
      </w:r>
      <w:r>
        <w:t xml:space="preserve">,</w:t>
      </w:r>
      <w:r>
        <w:t xml:space="preserve"> </w:t>
      </w:r>
      <w:r>
        <w:t xml:space="preserve">que limita a coleta ao mínimo indispensável à finalidade declarada; e da</w:t>
      </w:r>
      <w:r>
        <w:t xml:space="preserve"> </w:t>
      </w:r>
      <w:r>
        <w:rPr>
          <w:b/>
          <w:bCs/>
        </w:rPr>
        <w:t xml:space="preserve">segurança</w:t>
      </w:r>
      <w:r>
        <w:t xml:space="preserve">, que impõe a</w:t>
      </w:r>
      <w:r>
        <w:t xml:space="preserve"> </w:t>
      </w:r>
      <w:r>
        <w:t xml:space="preserve">adoção de medidas técnicas aptas a proteger os dados de acessos não autorizados (Brasil, 2018). A lei</w:t>
      </w:r>
      <w:r>
        <w:t xml:space="preserve"> </w:t>
      </w:r>
      <w:r>
        <w:t xml:space="preserve">reserva ainda proteção reforçada aos</w:t>
      </w:r>
      <w:r>
        <w:t xml:space="preserve"> </w:t>
      </w:r>
      <w:r>
        <w:rPr>
          <w:b/>
          <w:bCs/>
        </w:rPr>
        <w:t xml:space="preserve">dados pessoais sensíveis</w:t>
      </w:r>
      <w:r>
        <w:t xml:space="preserve">, categoria que abrange, entre</w:t>
      </w:r>
      <w:r>
        <w:t xml:space="preserve"> </w:t>
      </w:r>
      <w:r>
        <w:t xml:space="preserve">outros, aqueles referentes à saúde, cujo tratamento se sujeita a hipóteses mais restritas previstas</w:t>
      </w:r>
      <w:r>
        <w:t xml:space="preserve"> </w:t>
      </w:r>
      <w:r>
        <w:t xml:space="preserve">em seu art. 11. Ao titular são assegurados direitos como o de confirmação da existência do</w:t>
      </w:r>
      <w:r>
        <w:t xml:space="preserve"> </w:t>
      </w:r>
      <w:r>
        <w:t xml:space="preserve">tratamento, acesso, correção, eliminação e oposição, este último especialmente relevante quando o</w:t>
      </w:r>
      <w:r>
        <w:t xml:space="preserve"> </w:t>
      </w:r>
      <w:r>
        <w:t xml:space="preserve">tratamento se fundamenta no legítimo interesse. Tais exigências repercutem diretamente sobre decisões</w:t>
      </w:r>
      <w:r>
        <w:t xml:space="preserve"> </w:t>
      </w:r>
      <w:r>
        <w:t xml:space="preserve">de projeto, uma vez que a delimitação dos dados coletados, a definição de prazos de retenção e o</w:t>
      </w:r>
      <w:r>
        <w:t xml:space="preserve"> </w:t>
      </w:r>
      <w:r>
        <w:t xml:space="preserve">controle de acesso deixam de ser questões de conveniência técnica e passam a ser condição de</w:t>
      </w:r>
      <w:r>
        <w:t xml:space="preserve"> </w:t>
      </w:r>
      <w:r>
        <w:t xml:space="preserve">conformidade.</w:t>
      </w:r>
    </w:p>
    <w:p>
      <w:r>
        <w:pict>
          <v:rect style="width:0;height:1.5pt" o:hralign="center" o:hrstd="t" o:hr="t"/>
        </w:pict>
      </w:r>
    </w:p>
    <w:bookmarkEnd w:id="10"/>
    <w:bookmarkStart w:id="11" w:name="continuidade-e-recuperação"/>
    <w:p>
      <w:pPr>
        <w:pStyle w:val="Heading2"/>
      </w:pPr>
      <w:r>
        <w:t xml:space="preserve">Continuidade e recuperação</w:t>
      </w:r>
    </w:p>
    <w:p>
      <w:pPr>
        <w:pStyle w:val="BlockText"/>
      </w:pPr>
      <w:r>
        <w:t xml:space="preserve">Colar ao final da introdução da seção 2.5, logo após o parágrafo que descreve os três tipos de</w:t>
      </w:r>
      <w:r>
        <w:t xml:space="preserve"> </w:t>
      </w:r>
      <w:r>
        <w:t xml:space="preserve">controle de segurança de Sommerville.</w:t>
      </w:r>
    </w:p>
    <w:p>
      <w:pPr>
        <w:pStyle w:val="FirstParagraph"/>
      </w:pPr>
      <w:r>
        <w:t xml:space="preserve">No que se refere ao terceiro tipo de controle descrito por Sommerville (2011), a limitação de</w:t>
      </w:r>
      <w:r>
        <w:t xml:space="preserve"> </w:t>
      </w:r>
      <w:r>
        <w:t xml:space="preserve">exposição e recuperação, sua operacionalização depende da definição prévia de objetivos mensuráveis.</w:t>
      </w:r>
      <w:r>
        <w:t xml:space="preserve"> </w:t>
      </w:r>
      <w:r>
        <w:t xml:space="preserve">Dois indicadores são convencionalmente empregados para essa finalidade: o</w:t>
      </w:r>
      <w:r>
        <w:t xml:space="preserve"> </w:t>
      </w:r>
      <w:r>
        <w:rPr>
          <w:b/>
          <w:bCs/>
        </w:rPr>
        <w:t xml:space="preserve">objetivo de ponto de</w:t>
      </w:r>
      <w:r>
        <w:rPr>
          <w:b/>
          <w:bCs/>
        </w:rPr>
        <w:t xml:space="preserve"> </w:t>
      </w:r>
      <w:r>
        <w:rPr>
          <w:b/>
          <w:bCs/>
        </w:rPr>
        <w:t xml:space="preserve">recuperação</w:t>
      </w:r>
      <w:r>
        <w:t xml:space="preserve"> </w:t>
      </w:r>
      <w:r>
        <w:t xml:space="preserve">(</w:t>
      </w:r>
      <w:r>
        <w:rPr>
          <w:i/>
          <w:iCs/>
        </w:rPr>
        <w:t xml:space="preserve">recovery point objective</w:t>
      </w:r>
      <w:r>
        <w:t xml:space="preserve">), que expressa o volume máximo de dados que se admite</w:t>
      </w:r>
      <w:r>
        <w:t xml:space="preserve"> </w:t>
      </w:r>
      <w:r>
        <w:t xml:space="preserve">perder, medido como intervalo de tempo desde a última cópia íntegra; e o</w:t>
      </w:r>
      <w:r>
        <w:t xml:space="preserve"> </w:t>
      </w:r>
      <w:r>
        <w:rPr>
          <w:b/>
          <w:bCs/>
        </w:rPr>
        <w:t xml:space="preserve">objetivo de tempo de</w:t>
      </w:r>
      <w:r>
        <w:rPr>
          <w:b/>
          <w:bCs/>
        </w:rPr>
        <w:t xml:space="preserve"> </w:t>
      </w:r>
      <w:r>
        <w:rPr>
          <w:b/>
          <w:bCs/>
        </w:rPr>
        <w:t xml:space="preserve">recuperação</w:t>
      </w:r>
      <w:r>
        <w:t xml:space="preserve"> </w:t>
      </w:r>
      <w:r>
        <w:t xml:space="preserve">(</w:t>
      </w:r>
      <w:r>
        <w:rPr>
          <w:i/>
          <w:iCs/>
        </w:rPr>
        <w:t xml:space="preserve">recovery time objective</w:t>
      </w:r>
      <w:r>
        <w:t xml:space="preserve">), que expressa o prazo máximo aceitável para o</w:t>
      </w:r>
      <w:r>
        <w:t xml:space="preserve"> </w:t>
      </w:r>
      <w:r>
        <w:t xml:space="preserve">restabelecimento do serviço após uma interrupção. A definição desses valores decorre da criticidade</w:t>
      </w:r>
      <w:r>
        <w:t xml:space="preserve"> </w:t>
      </w:r>
      <w:r>
        <w:t xml:space="preserve">do sistema e do custo tolerável, e é ela que converte a intenção de proteger em requisito</w:t>
      </w:r>
      <w:r>
        <w:t xml:space="preserve"> </w:t>
      </w:r>
      <w:r>
        <w:t xml:space="preserve">verificável. Cabe observar, ainda, que uma rotina de cópia de segurança cuja restauração nunca foi</w:t>
      </w:r>
      <w:r>
        <w:t xml:space="preserve"> </w:t>
      </w:r>
      <w:r>
        <w:t xml:space="preserve">exercitada não constitui controle efetivo, mas hipótese não verificada, razão pela qual o teste</w:t>
      </w:r>
      <w:r>
        <w:t xml:space="preserve"> </w:t>
      </w:r>
      <w:r>
        <w:t xml:space="preserve">periódico de restauração integra o próprio controle.</w:t>
      </w:r>
    </w:p>
    <w:p>
      <w:r>
        <w:pict>
          <v:rect style="width:0;height:1.5pt" o:hralign="center" o:hrstd="t" o:hr="t"/>
        </w:pict>
      </w:r>
    </w:p>
    <w:bookmarkEnd w:id="11"/>
    <w:bookmarkStart w:id="12" w:name="referências-a-acrescentar"/>
    <w:p>
      <w:pPr>
        <w:pStyle w:val="Heading2"/>
      </w:pPr>
      <w:r>
        <w:t xml:space="preserve">Referências a acrescentar</w:t>
      </w:r>
    </w:p>
    <w:p>
      <w:pPr>
        <w:pStyle w:val="BlockText"/>
      </w:pPr>
      <w:r>
        <w:t xml:space="preserve">Inserir em ordem alfabética na seção REFERÊNCIAS.</w:t>
      </w:r>
    </w:p>
    <w:p>
      <w:pPr>
        <w:pStyle w:val="SourceCode"/>
      </w:pPr>
      <w:r>
        <w:rPr>
          <w:rStyle w:val="VerbatimChar"/>
        </w:rPr>
        <w:t xml:space="preserve">BRASIL. Lei nº 13.709, de 14 de agosto de 2018. Dispõe sobre a proteção de dados pessoais e altera</w:t>
      </w:r>
      <w:r>
        <w:br/>
      </w:r>
      <w:r>
        <w:rPr>
          <w:rStyle w:val="VerbatimChar"/>
        </w:rPr>
        <w:t xml:space="preserve">a Lei nº 12.965, de 23 de abril de 2014 (Marco Civil da Internet). Brasília, DF: Presidência da</w:t>
      </w:r>
      <w:r>
        <w:br/>
      </w:r>
      <w:r>
        <w:rPr>
          <w:rStyle w:val="VerbatimChar"/>
        </w:rPr>
        <w:t xml:space="preserve">República, 2018.</w:t>
      </w:r>
    </w:p>
    <w:p>
      <w:pPr>
        <w:pStyle w:val="FirstParagraph"/>
      </w:pPr>
      <w:r>
        <w:t xml:space="preserve">A referência a</w:t>
      </w:r>
      <w:r>
        <w:t xml:space="preserve"> </w:t>
      </w:r>
      <w:r>
        <w:rPr>
          <w:rStyle w:val="VerbatimChar"/>
        </w:rPr>
        <w:t xml:space="preserve">BRASIL. Lei Complementar nº 123, de 14 de dezembro de 2006</w:t>
      </w:r>
      <w:r>
        <w:t xml:space="preserve"> </w:t>
      </w:r>
      <w:r>
        <w:t xml:space="preserve">já consta do trabalho;</w:t>
      </w:r>
      <w:r>
        <w:t xml:space="preserve"> </w:t>
      </w:r>
      <w:r>
        <w:t xml:space="preserve">a nova entrada deve ser posicionada imediatamente após ela, seguindo a ordenação por ano.</w:t>
      </w:r>
    </w:p>
    <w:p>
      <w:r>
        <w:pict>
          <v:rect style="width:0;height:1.5pt" o:hralign="center" o:hrstd="t" o:hr="t"/>
        </w:pict>
      </w:r>
    </w:p>
    <w:bookmarkEnd w:id="12"/>
    <w:bookmarkStart w:id="13" w:name="ajuste-no-sumário"/>
    <w:p>
      <w:pPr>
        <w:pStyle w:val="Heading2"/>
      </w:pPr>
      <w:r>
        <w:t xml:space="preserve">Ajuste no sumário</w:t>
      </w:r>
    </w:p>
    <w:p>
      <w:pPr>
        <w:pStyle w:val="FirstParagraph"/>
      </w:pPr>
      <w:r>
        <w:t xml:space="preserve">A inclusão de 2.5.3 desloca a numeração das seções seguintes apenas se o sumário for gerado</w:t>
      </w:r>
      <w:r>
        <w:t xml:space="preserve"> </w:t>
      </w:r>
      <w:r>
        <w:t xml:space="preserve">manualmente. Sendo automático, basta atualizá-lo. As demais subseções de 2.5 permanecem inalteradas:</w:t>
      </w:r>
    </w:p>
    <w:p>
      <w:pPr>
        <w:pStyle w:val="SourceCode"/>
      </w:pPr>
      <w:r>
        <w:rPr>
          <w:rStyle w:val="VerbatimChar"/>
        </w:rPr>
        <w:t xml:space="preserve">2.5   Segurança da informação</w:t>
      </w:r>
      <w:r>
        <w:br/>
      </w:r>
      <w:r>
        <w:rPr>
          <w:rStyle w:val="VerbatimChar"/>
        </w:rPr>
        <w:t xml:space="preserve">2.5.1 Princípios básicos (confidencialidade, integridade, disponibilidade)</w:t>
      </w:r>
      <w:r>
        <w:br/>
      </w:r>
      <w:r>
        <w:rPr>
          <w:rStyle w:val="VerbatimChar"/>
        </w:rPr>
        <w:t xml:space="preserve">2.5.2 Autenticação e controle de acesso</w:t>
      </w:r>
      <w:r>
        <w:br/>
      </w:r>
      <w:r>
        <w:rPr>
          <w:rStyle w:val="VerbatimChar"/>
        </w:rPr>
        <w:t xml:space="preserve">2.5.3 Proteção de dados pessoais          ← nova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2026-09-16T15:26:09Z</dcterms:created>
  <dcterms:modified xsi:type="dcterms:W3CDTF">2026-09-16T15:26:09Z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