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Detecting possible existing leaks of our databases and protecting them from further leaks by complying with current regulations and implementing better procedures and policies are the highest priority tasks. The risk of theft is not a high priority,since the region has a history of low crime rates</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