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before="960" w:lineRule="auto"/>
        <w:jc w:val="center"/>
        <w:rPr>
          <w:b w:val="0"/>
          <w:bCs w:val="0"/>
          <w:i w:val="0"/>
          <w:iCs w:val="0"/>
          <w:color w:val="1f5a87"/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color w:val="123a63"/>
          <w:sz w:val="48"/>
          <w:szCs w:val="48"/>
          <w:vertAlign w:val="baseline"/>
          <w:rtl w:val="0"/>
        </w:rPr>
        <w:t xml:space="preserve">TERMO DE ABERTURA DE PROJETO/SOFTWARE (TAP)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80" w:before="0" w:lineRule="auto"/>
        <w:jc w:val="center"/>
        <w:rPr>
          <w:b w:val="1"/>
          <w:bCs w:val="1"/>
          <w:i w:val="0"/>
          <w:iCs w:val="0"/>
          <w:color w:val="425466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color w:val="1f5a87"/>
          <w:sz w:val="32"/>
          <w:szCs w:val="32"/>
          <w:vertAlign w:val="baseline"/>
          <w:rtl w:val="0"/>
        </w:rPr>
        <w:t xml:space="preserve">TêxtilFlow</w:t>
      </w:r>
      <w:r w:rsidDel="00000000" w:rsidR="00000000" w:rsidRPr="00000000">
        <w:rPr>
          <w:b w:val="0"/>
          <w:bCs w:val="0"/>
          <w:i w:val="0"/>
          <w:iCs w:val="0"/>
          <w:color w:val="1f5a87"/>
          <w:sz w:val="32"/>
          <w:szCs w:val="32"/>
          <w:vertAlign w:val="baseline"/>
          <w:rtl w:val="0"/>
        </w:rPr>
        <w:t xml:space="preserve"> — Sistema de PCP especializado em tecelagem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0" w:lineRule="auto"/>
        <w:jc w:val="center"/>
        <w:rPr>
          <w:b w:val="0"/>
          <w:bCs w:val="0"/>
          <w:i w:val="0"/>
          <w:iCs w:val="0"/>
          <w:color w:val="425466"/>
          <w:sz w:val="18"/>
          <w:szCs w:val="18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color w:val="425466"/>
          <w:sz w:val="21"/>
          <w:szCs w:val="21"/>
          <w:vertAlign w:val="baseline"/>
          <w:rtl w:val="0"/>
        </w:rPr>
        <w:t xml:space="preserve">Versão: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t xml:space="preserve"> 1.0 — Documento-base para avaliação</w:t>
      </w:r>
      <w:r w:rsidDel="00000000" w:rsidR="00000000" w:rsidRPr="00000000">
        <w:rPr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color w:val="425466"/>
          <w:sz w:val="21"/>
          <w:szCs w:val="21"/>
          <w:vertAlign w:val="baseline"/>
          <w:rtl w:val="0"/>
        </w:rPr>
        <w:t xml:space="preserve">Organização: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t xml:space="preserve"> [Nome da empresa]</w:t>
      </w:r>
      <w:r w:rsidDel="00000000" w:rsidR="00000000" w:rsidRPr="00000000">
        <w:rPr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color w:val="425466"/>
          <w:sz w:val="21"/>
          <w:szCs w:val="21"/>
          <w:vertAlign w:val="baseline"/>
          <w:rtl w:val="0"/>
        </w:rPr>
        <w:t xml:space="preserve">Público-alvo: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t xml:space="preserve"> Pequenas e médias empresas do setor de tecelagem</w:t>
      </w:r>
      <w:r w:rsidDel="00000000" w:rsidR="00000000" w:rsidRPr="00000000">
        <w:rPr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color w:val="425466"/>
          <w:sz w:val="21"/>
          <w:szCs w:val="21"/>
          <w:vertAlign w:val="baseline"/>
          <w:rtl w:val="0"/>
        </w:rPr>
        <w:t xml:space="preserve">Unidade/área: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t xml:space="preserve"> [Unidade industrial / Diretoria responsável]</w:t>
      </w:r>
      <w:r w:rsidDel="00000000" w:rsidR="00000000" w:rsidRPr="00000000">
        <w:rPr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color w:val="425466"/>
          <w:sz w:val="21"/>
          <w:szCs w:val="21"/>
          <w:vertAlign w:val="baseline"/>
          <w:rtl w:val="0"/>
        </w:rPr>
        <w:t xml:space="preserve">Elaborado por: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t xml:space="preserve"> [Nome do responsável]</w:t>
      </w:r>
      <w:r w:rsidDel="00000000" w:rsidR="00000000" w:rsidRPr="00000000">
        <w:rPr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color w:val="425466"/>
          <w:sz w:val="21"/>
          <w:szCs w:val="21"/>
          <w:vertAlign w:val="baseline"/>
          <w:rtl w:val="0"/>
        </w:rPr>
        <w:t xml:space="preserve">Data de emissão: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21"/>
          <w:szCs w:val="21"/>
          <w:vertAlign w:val="baseline"/>
          <w:rtl w:val="0"/>
        </w:rPr>
        <w:t xml:space="preserve"> [Preencher após aprovação]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000000" w:space="0" w:sz="0" w:val="none"/>
          <w:left w:color="1f5a87" w:space="8" w:sz="18" w:val="single"/>
          <w:bottom w:color="000000" w:space="0" w:sz="0" w:val="none"/>
          <w:right w:color="000000" w:space="0" w:sz="0" w:val="none"/>
        </w:pBdr>
        <w:shd w:fill="f1f6fa" w:val="clear"/>
        <w:spacing w:after="160" w:before="100" w:line="259" w:lineRule="auto"/>
        <w:ind w:left="198" w:right="142" w:firstLine="0"/>
        <w:jc w:val="left"/>
        <w:rPr>
          <w:b w:val="1"/>
          <w:bCs w:val="1"/>
          <w:color w:val="6b7c8d"/>
          <w:sz w:val="16"/>
          <w:szCs w:val="16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color w:val="425466"/>
          <w:sz w:val="18"/>
          <w:szCs w:val="18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color w:val="425466"/>
          <w:sz w:val="18"/>
          <w:szCs w:val="18"/>
          <w:vertAlign w:val="baseline"/>
          <w:rtl w:val="0"/>
        </w:rPr>
        <w:t xml:space="preserve">Nota de preenchimento.</w:t>
      </w:r>
      <w:r w:rsidDel="00000000" w:rsidR="00000000" w:rsidRPr="00000000">
        <w:rPr>
          <w:b w:val="0"/>
          <w:bCs w:val="0"/>
          <w:i w:val="0"/>
          <w:iCs w:val="0"/>
          <w:color w:val="425466"/>
          <w:sz w:val="18"/>
          <w:szCs w:val="18"/>
          <w:vertAlign w:val="baseline"/>
          <w:rtl w:val="0"/>
        </w:rPr>
        <w:t xml:space="preserve"> Os campos entre colchetes são informações institucionais que devem ser ajustadas pela empresa. Os valores de investimento e prazo são estimativas preliminares para apoiar a decisão de iniciar o projeto.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1600" w:lineRule="auto"/>
        <w:jc w:val="center"/>
        <w:rPr>
          <w:vertAlign w:val="baseline"/>
        </w:rPr>
      </w:pPr>
      <w:r w:rsidDel="00000000" w:rsidR="00000000" w:rsidRPr="00000000">
        <w:rPr>
          <w:b w:val="1"/>
          <w:bCs w:val="1"/>
          <w:color w:val="6b7c8d"/>
          <w:sz w:val="16"/>
          <w:szCs w:val="16"/>
          <w:vertAlign w:val="baseline"/>
          <w:rtl w:val="0"/>
        </w:rPr>
        <w:t xml:space="preserve">DOCUMENTO PARA AVALIAÇÃO E APROVAÇÃO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1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Identificação e autorização do projeto</w:t>
      </w:r>
      <w:r w:rsidDel="00000000" w:rsidR="00000000" w:rsidRPr="00000000">
        <w:rPr>
          <w:rtl w:val="0"/>
        </w:rPr>
      </w:r>
    </w:p>
    <w:tbl>
      <w:tblPr>
        <w:tblStyle w:val="Table1"/>
        <w:tblW w:w="9751.0" w:type="dxa"/>
        <w:jc w:val="left"/>
        <w:tblInd w:w="-108.0" w:type="dxa"/>
        <w:tblLayout w:type="fixed"/>
        <w:tblLook w:val="0000"/>
      </w:tblPr>
      <w:tblGrid>
        <w:gridCol w:w="4876"/>
        <w:gridCol w:w="4875"/>
        <w:tblGridChange w:id="0">
          <w:tblGrid>
            <w:gridCol w:w="4876"/>
            <w:gridCol w:w="48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1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1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Definição preliminar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Nome do projeto/software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TêxtilFlow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 — Sistema Integrado de Planejamento e Controle da Produção para Tecelagem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1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Natureza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1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Desenvolvimento ou implantação de software de Planejamento e Controle da Produção (PCP), com especialização para operações de tecelagem.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Unidade patrocinadora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[Diretoria Industrial / Diretoria Executiva]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1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Gerente do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1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[Nome e cargo]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Área proprietária do produto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PCP, em conjunto com Produção, Engenharia de Processos e TI.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1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Abrangência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2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[Fábrica/unidade], contemplando programação, execução, apontamento, qualidade, manutenção e indicadores da tecelagem.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Critério de autorização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Aprovação deste TAP pelo patrocinador e liberação do orçamento inicial.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.1. Patrocinador (sponsor)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before="0" w:line="276" w:lineRule="auto"/>
        <w:jc w:val="both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patrocinador proposto é a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Diretoria Executiva ou Diretoria Industrial da [Nome da empresa]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, representada por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[nome, cargo e contato]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. Cabe ao patrocinador assegurar o apoio financeiro e institucional, priorizar o projeto perante as demais iniciativas, remover impedimentos que dependam da alta gestão, aprovar mudanças relevantes de escopo, prazo ou orçamento e validar a entrega final.</w:t>
      </w:r>
    </w:p>
    <w:p w:rsidR="00000000" w:rsidDel="00000000" w:rsidP="00000000" w:rsidRDefault="00000000" w:rsidRPr="00000000" w14:paraId="00000026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patrocinador deverá indicar um responsável com autoridade suficiente para tomar decisões sobre prioridades industriais, disponibilização de usuários-chave e integração entre as áreas de PCP, tecelagem, qualidade, manutenção, estoque, compras, expedição e tecnologia da informação.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Justificativa do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before="0" w:line="276" w:lineRule="auto"/>
        <w:jc w:val="both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 operação de tecelagem envolve a coordenação de artigos, fichas técnicas, fios, lotes, receitas, teares, velocidades, setups, equipes, turnos, inspeções, perdas, paradas e reprocessamentos. Quando essas informações permanecem distribuídas entre planilhas, registros manuais, sistemas que não conversam entre si e controles paralelos, a empresa tende a ter dificuldade para formar uma visão única e atualizada da capacidade produtiva e do andamento das ordens.</w:t>
      </w:r>
    </w:p>
    <w:p w:rsidR="00000000" w:rsidDel="00000000" w:rsidP="00000000" w:rsidRDefault="00000000" w:rsidRPr="00000000" w14:paraId="0000002A">
      <w:pPr>
        <w:spacing w:after="120" w:before="0" w:line="276" w:lineRule="auto"/>
        <w:jc w:val="both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 situação atual a ser investigada e tratada pelo projeto é caracterizada, preliminarmente, por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baixa integração entre planejamento e execução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, atualizações manuais, pouca rastreabilidade do fio ao tecido, dificuldade para identificar gargalos, mudanças de programação com comunicação tardia, apontamentos incompletos e indicadores calculados após o fato. Esses problemas podem gerar atrasos, excesso de estoque em processo, paradas não analisadas, perdas de matéria-prima, retrabalho, baixa confiabilidade dos prazos e dependência de conhecimento individual.</w:t>
      </w:r>
    </w:p>
    <w:p w:rsidR="00000000" w:rsidDel="00000000" w:rsidP="00000000" w:rsidRDefault="00000000" w:rsidRPr="00000000" w14:paraId="0000002B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software é necessário para consolidar dados operacionais, apoiar a programação realista dos teares, registrar o que efetivamente ocorreu no chão de fábrica e transformar os dados em informação para decisão. A solução também deverá criar uma base para melhoria contínua, auditoria de processos, rastreabilidade e futura integração com um ERP ou sistema corporativo.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Desenvolver ou implantar um sistema de PCP especializado em tecelagem para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planejar, programar, acompanhar e controlar a produção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, integrando informações de pedidos, artigos, fios, teares, ordens de produção, qualidade, manutenção e estoque, de modo a aumentar a previsibilidade dos prazos, a rastreabilidade e a eficiência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1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Objetivos específicos e metas parciais</w:t>
      </w:r>
      <w:r w:rsidDel="00000000" w:rsidR="00000000" w:rsidRPr="00000000">
        <w:rPr>
          <w:rtl w:val="0"/>
        </w:rPr>
      </w:r>
    </w:p>
    <w:tbl>
      <w:tblPr>
        <w:tblStyle w:val="Table2"/>
        <w:tblW w:w="9753.0" w:type="dxa"/>
        <w:jc w:val="left"/>
        <w:tblInd w:w="-108.0" w:type="dxa"/>
        <w:tblLayout w:type="fixed"/>
        <w:tblLook w:val="0000"/>
      </w:tblPr>
      <w:tblGrid>
        <w:gridCol w:w="3251"/>
        <w:gridCol w:w="3251"/>
        <w:gridCol w:w="3251"/>
        <w:tblGridChange w:id="0">
          <w:tblGrid>
            <w:gridCol w:w="3251"/>
            <w:gridCol w:w="3251"/>
            <w:gridCol w:w="32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3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Objetivo específico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3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Meta parcial proposta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3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Indicador de acompanhamento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Estruturar o cadastro industrial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Padronizar artigos, fios, receitas, teares, operações, turnos, calendários e motivos de parada antes do piloto.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Percentual de cadastros críticos validados.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3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Planejar a capacidade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3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Disponibilizar visão de carga por tear, artigo, turno e período, considerando restrições conhecidas.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3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Percentual de ordens planejadas com capacidade verificada.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Programar a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Emitir sequência de produção e ordens de produção com prioridades, prazos e recursos definidos.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Aderência da programação ao plano aprovado.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3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Registrar a execução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3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Permitir apontamento de produção, perdas, paradas, trocas, observações e consumo de materiais.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3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Percentual de ordens apontadas no turno ou no dia.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4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Aumentar a rastreabilidade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4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Relacionar pedido, ordem, artigo, lote de fio, tear, turno, operador e lote de tecido.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4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Percentual de lotes rastreáveis de ponta a ponta.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4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Integrar qualidade e 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4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Registrar inspeções e ocorrências de qualidade; relacionar paradas e chamados de manutenção à ordem ou ao tear.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4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Percentual de ocorrências com causa, responsável e tratamento registrados.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4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Disponibilizar indicadores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4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Criar painéis de produção, eficiência, paradas, perdas, qualidade, prazo e utilização de teares.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4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Atualização dos painéis conforme periodicidade definida.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4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Preparar expansão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4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Documentar integrações e modelo de dados para futuras integrações corporativas, sem ampliar o escopo inicial.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4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Documento de arquitetura e backlog de evolução aprovados.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As metas percentuais definitivas deverão ser ajustadas após o diagnóstico da situação atual, a medição da linha de base e a validação com o patrocinador e os usuários-chave.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Benefícios esperados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before="0" w:line="276" w:lineRule="auto"/>
        <w:jc w:val="both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Os benefícios abaixo são estimativas de referência e deverão ser confirmados por um diagnóstico inicial. O acompanhamento deverá comparar a linha de base do período anterior ao projeto com os resultados após o piloto e a estabilização.</w:t>
      </w:r>
      <w:r w:rsidDel="00000000" w:rsidR="00000000" w:rsidRPr="00000000">
        <w:rPr>
          <w:rtl w:val="0"/>
        </w:rPr>
      </w:r>
    </w:p>
    <w:tbl>
      <w:tblPr>
        <w:tblStyle w:val="Table3"/>
        <w:tblW w:w="9753.0" w:type="dxa"/>
        <w:jc w:val="left"/>
        <w:tblInd w:w="-108.0" w:type="dxa"/>
        <w:tblLayout w:type="fixed"/>
        <w:tblLook w:val="0000"/>
      </w:tblPr>
      <w:tblGrid>
        <w:gridCol w:w="3251"/>
        <w:gridCol w:w="3251"/>
        <w:gridCol w:w="3251"/>
        <w:tblGridChange w:id="0">
          <w:tblGrid>
            <w:gridCol w:w="3251"/>
            <w:gridCol w:w="3251"/>
            <w:gridCol w:w="32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5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Horizonte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5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Benefício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5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Forma de mensuração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5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Curto prazo — piloto e estabilização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5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Redução de controles paralelos e do tempo gasto na consolidação manual de informações.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5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Horas semanais dedicadas a planilhas e consolidações antes e depois do piloto.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5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Curto prazo — até 3 meses após a entrada em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5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Maior visibilidade das ordens, prioridades, paradas e carga dos teares.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5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Percentual de ordens com status atualizado e painel disponível para as áreas.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5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 prazo — até 6 meses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5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Melhoria da aderência da programação e redução de reprogramações evitáveis.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5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Aderência ao plano, quantidade de reprogramações e cumprimento de prazos.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5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 prazo — até 6 meses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5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Redução de perdas, esperas e horas improdutivas por causas não tratadas.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5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Quilogramas de perdas, horas de parada e causas recorrentes por tear.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6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 prazo — 6 a 12 meses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6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Aumento da rastreabilidade e da velocidade de investigação de desvios de qualidade.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6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Tempo para localizar lote, ordem, fio, tear e turno associados a uma ocorrência.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6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Longo prazo — após maturação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6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Base para integração com ERP, manutenção, estoque e outros sistemas corporativos.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6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Número de integrações implantadas e processos que utilizam dados únicos.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Entre os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benefícios intangíveis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, destacam-se maior confiança nas informações, redução da dependência de conhecimento não documentado, fortalecimento da colaboração entre escritório e fábrica, responsabilização clara pelos apontamentos, cultura de gestão à vista, maior capacidade de aprendizado organizacional e melhor percepção do cliente sobre previsibilidade e qualidade.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Descrição breve do software e funcionalidades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before="0" w:line="276" w:lineRule="auto"/>
        <w:jc w:val="both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TêxtilFlow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 será uma aplicação web ou híbrida, com perfis de acesso por função, destinada a conectar o planejamento do PCP à execução da tecelagem. O sistema deverá permitir que a empresa mantenha uma fonte única de informações operacionais, sem impedir a integração com sistemas corporativos existentes.</w:t>
      </w:r>
      <w:r w:rsidDel="00000000" w:rsidR="00000000" w:rsidRPr="00000000">
        <w:rPr>
          <w:rtl w:val="0"/>
        </w:rPr>
      </w:r>
    </w:p>
    <w:tbl>
      <w:tblPr>
        <w:tblStyle w:val="Table4"/>
        <w:tblW w:w="9751.0" w:type="dxa"/>
        <w:jc w:val="left"/>
        <w:tblInd w:w="-108.0" w:type="dxa"/>
        <w:tblLayout w:type="fixed"/>
        <w:tblLook w:val="0000"/>
      </w:tblPr>
      <w:tblGrid>
        <w:gridCol w:w="4876"/>
        <w:gridCol w:w="4875"/>
        <w:tblGridChange w:id="0">
          <w:tblGrid>
            <w:gridCol w:w="4876"/>
            <w:gridCol w:w="48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6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Módulo ou funcionalidade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6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Descrição preliminar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6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Cadastros mestres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6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Artigos, estruturas e receitas, fios, fornecedores, lotes, teares, características técnicas, calendários, turnos, equipes, operações e motivos de parada.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6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Carteira e demanda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Registro ou importação de pedidos, prioridades, datas prometidas, clientes, artigos e quantidades.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Planejamento de materiais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Verificação de disponibilidade e necessidade de fios, insumos e materiais de apoio.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Planejamento de capacidade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Visualização de carga, disponibilidade, restrições, setups e compatibilidade entre artigo e tear.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Programação e sequenciamento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Geração, ajuste e publicação de sequência de produção por tear, turno, artigo e prioridade.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Ordens de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Criação, liberação, suspensão, reprogramação, encerramento e consulta do histórico das ordens.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Apontamento de chão de fábrica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Registro de produção, refugos, perdas, paradas, trocas, início e fim de atividade, operador e turno.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Rastreabilidade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Consulta da relação entre pedido, ordem, artigo, lote de fio, tear, turno, operador e lote produzido.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7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Inspeções, defeitos, não conformidades, bloqueios, liberações, retrabalho e vínculo com o lote.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7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8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Registro de parada, chamado, causa, equipamento, intervenção e retorno à operação; integração futura com CMMS/ERP.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8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Estoque e movimentações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8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Consulta e registro das movimentações necessárias ao processo, com integração futura ao estoque corporativo.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8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Indicadores e painéis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8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Produção planejada versus realizada, eficiência, disponibilidade, paradas, perdas, qualidade, prazos e utilização dos teares.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8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Administração e 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8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Usuários, perfis, permissões, logs, histórico de alterações, parâmetros e exportação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Fora do escopo inicial: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 folha de pagamento, contabilidade, faturamento, CRM, compras completas, manutenção avançada, comércio eletrônico e módulos corporativos não essenciais ao PCP. Esses temas poderão compor integrações ou fases futuras, mediante aprovação formal.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1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Interessados no projeto (stakeholders)</w:t>
      </w:r>
      <w:r w:rsidDel="00000000" w:rsidR="00000000" w:rsidRPr="00000000">
        <w:rPr>
          <w:rtl w:val="0"/>
        </w:rPr>
      </w:r>
    </w:p>
    <w:tbl>
      <w:tblPr>
        <w:tblStyle w:val="Table5"/>
        <w:tblW w:w="9753.0" w:type="dxa"/>
        <w:jc w:val="left"/>
        <w:tblInd w:w="-108.0" w:type="dxa"/>
        <w:tblLayout w:type="fixed"/>
        <w:tblLook w:val="0000"/>
      </w:tblPr>
      <w:tblGrid>
        <w:gridCol w:w="3251"/>
        <w:gridCol w:w="3251"/>
        <w:gridCol w:w="3251"/>
        <w:tblGridChange w:id="0">
          <w:tblGrid>
            <w:gridCol w:w="3251"/>
            <w:gridCol w:w="3251"/>
            <w:gridCol w:w="32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8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8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Interesse ou responsabilidade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8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Participação esperada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8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Patrocinador e diretoria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8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Retorno do investimento, competitividade, governança e priorização.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Aprovar decisões, recursos, mudanças e resultados.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Gerência industrial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Eficiência, capacidade, cumprimento de prazos e integração entre áreas.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Validar escopo, metas, indicadores e implantação.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Planejamento, sequenciamento, prioridades e aderência ao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Ser proprietário do processo e usuário-chave.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Supervisores e líderes de tecelagem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Execução, troca de turnos, paradas e gestão diária.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Validar telas e participar do piloto.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Operadores de teares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Apontamento simples, rápido e confiável no chão de fábrica.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9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Testar e utilizar as rotinas de execução.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Engenharia de processos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Fichas técnicas, parâmetros, métodos e tempos.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9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Validar dados técnicos e regras de produção.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Inspeção, defeitos, bloqueios, liberação e rastreabilidade.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Definir controles e critérios de aceite.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Paradas, causas, chamados, disponibilidade e intervenção.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Definir eventos e integração com ativos.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Almoxarifado/estoque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Disponibilidade, separação e consumo de fios e materiais.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Validar movimentações e saldos.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Compras e fornecedores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Abastecimento, prazos e informações de materiais.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Apoiar dados de fornecimento e integrações.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Expedição e comercial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Compromissos de entrega, prioridades e atendimento ao cliente.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A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Validar visibilidade de prazos e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A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TI e segurança da informação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B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Infraestrutura, integrações, acessos, suporte e continuidade.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B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Arquitetar, proteger e sustentar a solução.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B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Consultoria ou fornecedor de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B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Configuração, desenvolvimento, migração e suporte especializado.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B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Entregar escopo contratado e transferir conhecimento.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B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Clientes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B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Qualidade, prazo e confiabilidade das entregas.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B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Impactados positivamente; participação conforme necessidade.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B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Órgãos reguladores e auditorias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B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Conformidade, registros e rastreabilidade aplicável.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B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Consultados quando houver requisito legal ou contratual.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Premissas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0" w:line="276" w:lineRule="auto"/>
        <w:jc w:val="both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Para fins de planejamento, serão assumidas como verdadeiras as seguintes condições: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 diretoria disponibilizará um patrocinador com autoridade para priorizar o projeto e resolver conflitos entre áreas.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 empresa indicará usuários-chave de PCP, tecelagem, qualidade, manutenção, estoque e TI, com disponibilidade para entrevistas, validações e testes.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Os dados mínimos de artigos, fios, teares, receitas, ordens, turnos e paradas estarão disponíveis ou poderão ser saneados durante a implantação.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 unidade-piloto possuirá infraestrutura de rede e dispositivos adequados ou terá um plano aprovado para sua disponibilização.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As áreas envolvidas participarão da padronização de processos e aceitarão substituir controles paralelos após a validação do sistema.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 software poderá ser integrado ao ERP existente por arquivos, APIs ou outro mecanismo tecnicamente viável, sem depender de uma única forma de integração.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 piloto será realizado em uma área ou grupo de teares representativo, antes da expansão para toda a operação.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Alterações legais, fiscais ou corporativas que não estejam diretamente relacionadas ao PCP serão tratadas como demandas específicas e não interromperão o escopo-base.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 projeto terá acesso a ambiente de testes, cópia controlada dos dados e mecanismos de backup conforme a política da empresa.</w:t>
      </w:r>
    </w:p>
    <w:p w:rsidR="00000000" w:rsidDel="00000000" w:rsidP="00000000" w:rsidRDefault="00000000" w:rsidRPr="00000000" w14:paraId="000000C8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Restrições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before="0" w:line="276" w:lineRule="auto"/>
        <w:jc w:val="both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As principais restrições preliminares são apresentadas a seguir. Elas deverão ser detalhadas no plano do projeto e acompanhadas pelo gerente responsável.</w:t>
      </w:r>
      <w:r w:rsidDel="00000000" w:rsidR="00000000" w:rsidRPr="00000000">
        <w:rPr>
          <w:rtl w:val="0"/>
        </w:rPr>
      </w:r>
    </w:p>
    <w:tbl>
      <w:tblPr>
        <w:tblStyle w:val="Table6"/>
        <w:tblW w:w="9751.0" w:type="dxa"/>
        <w:jc w:val="left"/>
        <w:tblInd w:w="-108.0" w:type="dxa"/>
        <w:tblLayout w:type="fixed"/>
        <w:tblLook w:val="0000"/>
      </w:tblPr>
      <w:tblGrid>
        <w:gridCol w:w="4876"/>
        <w:gridCol w:w="4875"/>
        <w:tblGridChange w:id="0">
          <w:tblGrid>
            <w:gridCol w:w="4876"/>
            <w:gridCol w:w="48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C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C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Restrição preliminar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C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Financeira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C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Orçamento inicial limitado e sujeito à aprovação por etapas; mudanças de escopo poderão exigir nova autorização.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C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Necessidade de concluir um piloto em até 8 meses, sem comprometer períodos críticos de produção e fechamento.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D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Recursos humanos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D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Disponibilidade parcial de usuários-chave; necessidade de equipe com conhecimentos de PCP, tecelagem, dados, UX, integração e suporte.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Operacional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Implantação sem interromper a produção; testes e treinamentos deverão respeitar turnos e janelas de manutenção.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D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D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Cadastros incompletos, inconsistentes ou com nomenclaturas diferentes poderão limitar a qualidade dos indicadores iniciais.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Tecnológica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Dependência de rede, dispositivos no chão de fábrica, políticas de segurança,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integração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 e compatibilidade com o parque existente.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D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Logística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D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Diferentes turnos, áreas físicas, níveis de conectividade e necessidade de equipamentos protegidos para ambiente industrial.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Escopo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D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Funcionalidades corporativas não essenciais ao PCP não integram a primeira entrega do sistema de tecelagem.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Estimativa preliminar de investimentos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before="0" w:line="276" w:lineRule="auto"/>
        <w:jc w:val="both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 estimativa abaixo é de baixa precisão, destinada à decisão inicial. Os valores devem ser refinados após levantamento de requisitos, definição da estratégia de aquisição ou desenvolvimento e cotação de infraestrutura e serviços.</w:t>
      </w:r>
      <w:r w:rsidDel="00000000" w:rsidR="00000000" w:rsidRPr="00000000">
        <w:rPr>
          <w:rtl w:val="0"/>
        </w:rPr>
      </w:r>
    </w:p>
    <w:tbl>
      <w:tblPr>
        <w:tblStyle w:val="Table7"/>
        <w:tblW w:w="9753.0" w:type="dxa"/>
        <w:jc w:val="left"/>
        <w:tblInd w:w="-108.0" w:type="dxa"/>
        <w:tblLayout w:type="fixed"/>
        <w:tblLook w:val="0000"/>
      </w:tblPr>
      <w:tblGrid>
        <w:gridCol w:w="3251"/>
        <w:gridCol w:w="3251"/>
        <w:gridCol w:w="3251"/>
        <w:tblGridChange w:id="0">
          <w:tblGrid>
            <w:gridCol w:w="3251"/>
            <w:gridCol w:w="3251"/>
            <w:gridCol w:w="32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E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Grupo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E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Componentes considerados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0E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Estimativa preliminar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E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Software e serviços especializados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E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Licença, desenvolvimento/configuração, parametrização, integrações, testes e suporte inicial.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E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R$ 120.000 a R$ 220.000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E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Infraestrutura e dispositivos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E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Hospedagem ou servidores, rede, terminais, coletores, leitores, impressoras e adequações no chão de fábrica.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E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R$ 25.000 a R$ 60.000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E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Implantação, dados e capacitação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E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Diagnóstico, saneamento e migração de dados, documentação, treinamentos e acompanhamento do piloto.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E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R$ 30.000 a R$ 70.000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E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Reserva de contingência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E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Ajustes de escopo, riscos técnicos, reforço de suporte e variações de preços.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0E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R$ 20.000 a R$ 45.000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F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Total preliminar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F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Soma dos quatro grupos principais.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F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R$ 195.000 a R$ 395.000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Os valores não incluem, salvo contratação específica, a expansão para múltiplas unidades, substituição integral do ERP, automação física de teares, sensores industriais de grande escala ou obras civis. A aprovação do orçamento deverá considerar o custo total de propriedade, incluindo manutenção, suporte, hospedagem, licenças recorrentes e atualização de dispositivos.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Estimativa de prazo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before="0" w:line="276" w:lineRule="auto"/>
        <w:jc w:val="both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 estimativa de conclusão do núcleo do projeto é de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8 meses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, contados a partir da autorização formal e da disponibilização da equipe. O prazo pressupõe decisões tempestivas, acesso aos dados, disponibilidade dos usuários-chave e implantação inicial em uma unidade-piloto.</w:t>
      </w:r>
    </w:p>
    <w:p w:rsidR="00000000" w:rsidDel="00000000" w:rsidP="00000000" w:rsidRDefault="00000000" w:rsidRPr="00000000" w14:paraId="000000F8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 entrada em produção deverá ocorrer de forma controlada, com treinamento, operação assistida, critérios de aceite e plano de contingência. A expansão para todos os teares e demais áreas da empresa deverá ser reestimada após a avaliação do piloto.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keepNext w:val="1"/>
        <w:rPr>
          <w:b w:val="1"/>
          <w:bCs w:val="1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Fatores críticos de sucesso (FCS)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Patrocínio ativo: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 direção deverá comunicar a prioridade do projeto, assegurar recursos e decidir rapidamente sobre conflitos.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Participação do chão de fábrica: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operadores, líderes e supervisores deverão contribuir para que os apontamentos sejam simples e aderentes à realidade.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Processos padronizados: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conceitos como ordem, lote, parada, perda, eficiência, artigo e status deverão ter definições únicas.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Qualidade dos dados: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cadastros, estruturas, receitas, calendários e motivos de parada deverão ser tratados como ativos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Escopo controlado: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o núcleo de tecelagem deverá ser entregue antes da incorporação de demandas corporativas amplas.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Usabilidade e disponibilidade: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 solução deverá funcionar com rapidez, poucos passos e adequada ao ambiente de 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Integração e governança de TI: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acessos, backups, segurança, logs, suporte e </w:t>
      </w:r>
      <w:r w:rsidDel="00000000" w:rsidR="00000000" w:rsidRPr="00000000">
        <w:rPr>
          <w:rtl w:val="0"/>
        </w:rPr>
        <w:t xml:space="preserve">integração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deverão ser definidos desde o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Treinamento e gestão da mudança: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cada perfil deverá ser treinado com exemplos da própria operação e acompanhado durante a estabilização.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Medição de resultados: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 linha de base deverá ser registrada para comprovar ganhos de prazo, rastreabilidade, produtividade, perdas e qualidade.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36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Transferência de conhecimento: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 empresa deverá reduzir a dependência do fornecedor, mantendo documentação, parametrização e equipe interna capacitada.</w:t>
      </w:r>
    </w:p>
    <w:p w:rsidR="00000000" w:rsidDel="00000000" w:rsidP="00000000" w:rsidRDefault="00000000" w:rsidRPr="00000000" w14:paraId="00000105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keepNext w:val="1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Principais riscos e oportunidades</w:t>
      </w:r>
      <w:r w:rsidDel="00000000" w:rsidR="00000000" w:rsidRPr="00000000">
        <w:rPr>
          <w:rtl w:val="0"/>
        </w:rPr>
      </w:r>
    </w:p>
    <w:tbl>
      <w:tblPr>
        <w:tblStyle w:val="Table8"/>
        <w:tblW w:w="9750.0" w:type="dxa"/>
        <w:jc w:val="left"/>
        <w:tblInd w:w="-108.0" w:type="dxa"/>
        <w:tblLayout w:type="fixed"/>
        <w:tblLook w:val="0000"/>
      </w:tblPr>
      <w:tblGrid>
        <w:gridCol w:w="1950"/>
        <w:gridCol w:w="1950"/>
        <w:gridCol w:w="1950"/>
        <w:gridCol w:w="1950"/>
        <w:gridCol w:w="1950"/>
        <w:tblGridChange w:id="0">
          <w:tblGrid>
            <w:gridCol w:w="1950"/>
            <w:gridCol w:w="1950"/>
            <w:gridCol w:w="1950"/>
            <w:gridCol w:w="1950"/>
            <w:gridCol w:w="19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0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0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0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Probabilidade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0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0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Resposta inicial ou aproveitamento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0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0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Dados mestres incompletos ou inconsistentes.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0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0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1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Criar responsável por dados, regras de saneamento e validação antes do piloto.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Resistência ao apontamento no chão de fábrica.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Envolver usuários desde o desenho, simplificar telas, treinar e acompanhar por turno.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1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1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Integrações com ERP ou equipamentos mais complexas que o previsto.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1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1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1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Fazer prova técnica no início e manter alternativa por importação/exportação controlada.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Indisponibilidade de usuários-chave por demanda operacional.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1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Reservar agenda, nomear substitutos e formalizar decisões.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Expansão excessiva do escopo para áreas corporativas.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Separar backlog, aplicar controle de mudanças e priorizar o núcleo de tecelagem.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2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2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Conectividade ou dispositivos insuficientes na fábrica.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2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2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2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Diagnosticar infraestrutura, prever modo de contingência e testar em campo.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Indicadores sem definição comum ou sem linha de 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2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Aprovar dicionário de indicadores e medir situação atual antes da implantação.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2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Dependência excessiva do fornecedor.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Exigir documentação, treinamento, acesso a dados e plano de transferência.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Oportunidade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Reduzir reprogramações com sequenciamento baseado em capacidade e restrições.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Priorizar motor de programação e painel de exceções.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Oportunidade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Usar dados de paradas e perdas para melhoria contínua e manutenção preventiva.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3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Integrar causas, tempos, equipamentos e planos de ação aos indicadores.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Oportunidade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3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Criar rastreabilidade comercial e de qualidade valorizada pelos clientes.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Disponibilizar consulta de lote e histórico para áreas autorizadas.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4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Oportunidade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4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Aproveitar a base de dados para futuras integrações corporativas.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4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4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4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Definir arquitetura modular e backlog de expansão desde o projeto inicial.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Oportunidade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Reduzir tempo de reunião e acelerar decisões com gestão à vista.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4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Publicar painéis por perfil e estabelecer rotina de análise.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D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Os riscos deverão ser registrados em um instrumento de acompanhamento, com responsável, prazo, gatilho, plano de resposta e status. As oportunidades deverão receber tratamento semelhante, para que não dependam apenas de ações espontâneas.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Macro-cronograma das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before="0" w:line="276" w:lineRule="auto"/>
        <w:jc w:val="both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cronograma abaixo utiliza quinzenas sequenciais, sem datas de calendário. A 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vertAlign w:val="baseline"/>
          <w:rtl w:val="0"/>
        </w:rPr>
        <w:t xml:space="preserve">Quinzena 1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 corresponde ao início formal do projeto. As datas reais serão atribuídas após a aprovação deste TAP.</w:t>
      </w:r>
      <w:r w:rsidDel="00000000" w:rsidR="00000000" w:rsidRPr="00000000">
        <w:rPr>
          <w:rtl w:val="0"/>
        </w:rPr>
      </w:r>
    </w:p>
    <w:tbl>
      <w:tblPr>
        <w:tblStyle w:val="Table9"/>
        <w:tblW w:w="9753.0" w:type="dxa"/>
        <w:jc w:val="left"/>
        <w:tblInd w:w="-108.0" w:type="dxa"/>
        <w:tblLayout w:type="fixed"/>
        <w:tblLook w:val="0000"/>
      </w:tblPr>
      <w:tblGrid>
        <w:gridCol w:w="3251"/>
        <w:gridCol w:w="3251"/>
        <w:gridCol w:w="3251"/>
        <w:tblGridChange w:id="0">
          <w:tblGrid>
            <w:gridCol w:w="3251"/>
            <w:gridCol w:w="3251"/>
            <w:gridCol w:w="32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5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Entrega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5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Atividades resumidas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5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Estimativa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5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Mobilização e kickoff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5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Aprovação do TAP, equipe, governança, plano de comunicação e abertura do projeto.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5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1–2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5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Diagnóstico e levantamento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5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Mapeamento dos processos de PCP e tecelagem, dores, dados, integrações e linha de 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5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2–4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5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Visão do produto 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5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Priorização do MVP, histórias ou especificações, regras de negócio, indicadores e critérios de aceite.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5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4–6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5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Arquitetura e protótipo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5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Modelo de dados, perfis, integrações, protótipo de telas e validação com usuários.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6–8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Cadastros 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Saneamento, padronização e carga inicial de artigos, fios, teares, receitas, turnos e parâmetros.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7–10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Desenvolvimento/configuração do núcleo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Carteira, capacidade, programação, ordens, apontamentos, rastreabilidade, qualidade e indicadores iniciais.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9–14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Integrações e 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Integração priorizada, testes funcionais, segurança, desempenho, dispositivos e correções.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12–15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Treinamento e piloto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Capacitação por perfil, operação assistida, coleta de feedback e ajustes finais.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6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Quinzenas 14–16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Aceite e encerramento da primeira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Aceite formal, relatório de resultados, lições aprendidas, suporte de transição e backlog da expansão.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6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Quinzena 16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A expansão para outros setores e demais teares deverá ser organizada em um novo plano ou em uma fase subsequente, aprovado com base nos resultados do piloto.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Critérios preliminares de aceite e encerramento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before="0" w:line="276" w:lineRule="auto"/>
        <w:jc w:val="both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projeto poderá ser considerado apto ao aceite da primeira fase quando o núcleo priorizado estiver disponível no ambiente acordado, os perfis de acesso estiverem configurados, os dados críticos do piloto estiverem validados, os usuários-chave tiverem concluído os testes, os apontamentos essenciais estiverem funcionando, os indicadores definidos </w:t>
      </w:r>
      <w:r w:rsidDel="00000000" w:rsidR="00000000" w:rsidRPr="00000000">
        <w:rPr>
          <w:rtl w:val="0"/>
        </w:rPr>
        <w:t xml:space="preserve">foram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consultados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 e os defeitos críticos estiverem tratados ou formalmente aceitos.</w:t>
      </w:r>
    </w:p>
    <w:p w:rsidR="00000000" w:rsidDel="00000000" w:rsidP="00000000" w:rsidRDefault="00000000" w:rsidRPr="00000000" w14:paraId="00000175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O encerramento deverá incluir termo de aceite, documentação funcional e técnica, registro de pendências, plano de suporte e sustentação, relatório de indicadores comparando a linha de base com o piloto, lições aprendidas e </w:t>
      </w:r>
      <w:r w:rsidDel="00000000" w:rsidR="00000000" w:rsidRPr="00000000">
        <w:rPr>
          <w:rtl w:val="0"/>
        </w:rPr>
        <w:t xml:space="preserve">recomendações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 sobre a expansão para toda a tecelagem e, posteriormente, para outras áreas corporativas.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keepNext w:val="1"/>
        <w:rPr>
          <w:b w:val="1"/>
          <w:bCs w:val="1"/>
          <w:i w:val="0"/>
          <w:iCs w:val="0"/>
          <w:color w:val="ffffff"/>
          <w:sz w:val="16"/>
          <w:szCs w:val="16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. Aprovações</w:t>
      </w:r>
      <w:r w:rsidDel="00000000" w:rsidR="00000000" w:rsidRPr="00000000">
        <w:rPr>
          <w:rtl w:val="0"/>
        </w:rPr>
      </w:r>
    </w:p>
    <w:tbl>
      <w:tblPr>
        <w:tblStyle w:val="Table10"/>
        <w:tblW w:w="9751.000000000002" w:type="dxa"/>
        <w:jc w:val="left"/>
        <w:tblInd w:w="-108.0" w:type="dxa"/>
        <w:tblLayout w:type="fixed"/>
        <w:tblLook w:val="0000"/>
      </w:tblPr>
      <w:tblGrid>
        <w:gridCol w:w="2438"/>
        <w:gridCol w:w="2438"/>
        <w:gridCol w:w="2438"/>
        <w:gridCol w:w="2437"/>
        <w:tblGridChange w:id="0">
          <w:tblGrid>
            <w:gridCol w:w="2438"/>
            <w:gridCol w:w="2438"/>
            <w:gridCol w:w="2438"/>
            <w:gridCol w:w="243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7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7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7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Assinatura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123a63" w:val="clear"/>
            <w:vAlign w:val="top"/>
          </w:tcPr>
          <w:p w:rsidR="00000000" w:rsidDel="00000000" w:rsidP="00000000" w:rsidRDefault="00000000" w:rsidRPr="00000000" w14:paraId="0000017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6"/>
                <w:szCs w:val="16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7D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Patrocinador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7E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[Nome e cargo]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7F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___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80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_/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1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Gerente do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2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[Nome e cargo]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3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___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4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_/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85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Responsável pelo PCP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86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[Nome e cargo]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87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___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188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_/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9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Responsável pela 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A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[Nome e cargo]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B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___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17"/>
                <w:szCs w:val="17"/>
                <w:vertAlign w:val="baseline"/>
                <w:rtl w:val="0"/>
              </w:rPr>
              <w:t xml:space="preserve">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ffff" w:space="0" w:sz="5" w:val="single"/>
              <w:left w:color="00ffff" w:space="0" w:sz="5" w:val="single"/>
              <w:bottom w:color="00ffff" w:space="0" w:sz="5" w:val="single"/>
              <w:right w:color="00ffff" w:space="0" w:sz="5" w:val="single"/>
            </w:tcBorders>
            <w:shd w:fill="f5f8fa" w:val="clear"/>
            <w:vAlign w:val="top"/>
          </w:tcPr>
          <w:p w:rsidR="00000000" w:rsidDel="00000000" w:rsidP="00000000" w:rsidRDefault="00000000" w:rsidRPr="00000000" w14:paraId="0000018C">
            <w:pPr>
              <w:widowControl w:val="1"/>
              <w:spacing w:after="0" w:before="0" w:line="240" w:lineRule="auto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_/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7"/>
                <w:szCs w:val="17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spacing w:after="2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top w:color="000000" w:space="0" w:sz="0" w:val="none"/>
          <w:left w:color="000000" w:space="0" w:sz="0" w:val="none"/>
          <w:bottom w:color="b8c6d1" w:space="0" w:sz="6" w:val="single"/>
          <w:right w:color="000000" w:space="0" w:sz="0" w:val="none"/>
        </w:pBdr>
        <w:spacing w:after="100" w:before="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keepNext w:val="1"/>
        <w:rPr>
          <w:b w:val="0"/>
          <w:bCs w:val="0"/>
          <w:i w:val="0"/>
          <w:iCs w:val="0"/>
          <w:sz w:val="21"/>
          <w:szCs w:val="2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Observação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before="0" w:line="276" w:lineRule="auto"/>
        <w:jc w:val="both"/>
        <w:rPr>
          <w:vertAlign w:val="baseline"/>
        </w:rPr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vertAlign w:val="baseline"/>
          <w:rtl w:val="0"/>
        </w:rPr>
        <w:t xml:space="preserve">Este TAP é um documento preliminar para autorização e direcionamento. As metas, valores, funcionalidades e prazos deverão ser confirmados durante o diagnóstico e formalizados no plano de gerenciamento do projeto, preservando o foco inicial na tecelagem e mantendo outras integrações corporativas como possibilidades de expansão controlada.</w:t>
      </w: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footerReference r:id="rId9" w:type="even"/>
      <w:pgSz w:h="16838" w:w="11906" w:orient="portrait"/>
      <w:pgMar w:bottom="1020" w:top="1134" w:left="1134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b7c8d"/>
        <w:sz w:val="16"/>
        <w:szCs w:val="16"/>
        <w:u w:val="none"/>
        <w:shd w:fill="auto" w:val="clear"/>
        <w:vertAlign w:val="baseline"/>
        <w:rtl w:val="0"/>
      </w:rPr>
      <w:t xml:space="preserve">TêxtilFlow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b7c8d"/>
        <w:sz w:val="16"/>
        <w:szCs w:val="16"/>
        <w:u w:val="none"/>
        <w:shd w:fill="auto" w:val="clear"/>
        <w:vertAlign w:val="baseline"/>
        <w:rtl w:val="0"/>
      </w:rPr>
      <w:t xml:space="preserve"> | TAP — Documento para avaliação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3">
    <w:pPr>
      <w:tabs>
        <w:tab w:val="center" w:leader="none" w:pos="4680"/>
        <w:tab w:val="right" w:leader="none" w:pos="9360"/>
      </w:tabs>
      <w:jc w:val="both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b7c8d"/>
        <w:sz w:val="16"/>
        <w:szCs w:val="16"/>
        <w:u w:val="none"/>
        <w:shd w:fill="auto" w:val="clear"/>
        <w:vertAlign w:val="baseline"/>
        <w:rtl w:val="0"/>
      </w:rPr>
      <w:t xml:space="preserve">TêxtilFlow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b7c8d"/>
        <w:sz w:val="16"/>
        <w:szCs w:val="16"/>
        <w:u w:val="none"/>
        <w:shd w:fill="auto" w:val="clear"/>
        <w:vertAlign w:val="baseline"/>
        <w:rtl w:val="0"/>
      </w:rPr>
      <w:t xml:space="preserve"> | TAP — Documento para avaliação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spacing w:after="100" w:before="180" w:line="276" w:lineRule="auto"/>
      <w:jc w:val="left"/>
    </w:pPr>
    <w:rPr>
      <w:rFonts w:ascii="Calibri" w:cs="Calibri" w:eastAsia="Calibri" w:hAnsi="Calibri"/>
      <w:b w:val="1"/>
      <w:bCs w:val="1"/>
      <w:color w:val="123a63"/>
      <w:sz w:val="36"/>
      <w:szCs w:val="36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spacing w:after="100" w:before="180" w:line="276" w:lineRule="auto"/>
      <w:jc w:val="left"/>
    </w:pPr>
    <w:rPr>
      <w:rFonts w:ascii="Calibri" w:cs="Calibri" w:eastAsia="Calibri" w:hAnsi="Calibri"/>
      <w:b w:val="1"/>
      <w:bCs w:val="1"/>
      <w:color w:val="1f5a87"/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spacing w:after="100" w:before="180" w:line="276" w:lineRule="auto"/>
      <w:jc w:val="left"/>
    </w:pPr>
    <w:rPr>
      <w:rFonts w:ascii="Calibri" w:cs="Calibri" w:eastAsia="Calibri" w:hAnsi="Calibri"/>
      <w:b w:val="1"/>
      <w:bCs w:val="1"/>
      <w:color w:val="1f5a87"/>
      <w:sz w:val="23"/>
      <w:szCs w:val="23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spacing w:after="0" w:before="200" w:line="276" w:lineRule="auto"/>
      <w:jc w:val="left"/>
    </w:pPr>
    <w:rPr>
      <w:rFonts w:ascii="Calibri" w:cs="Calibri" w:eastAsia="Calibri" w:hAnsi="Calibri"/>
      <w:b w:val="1"/>
      <w:bCs w:val="1"/>
      <w:i w:val="1"/>
      <w:iCs w:val="1"/>
      <w:color w:val="4f81bd"/>
      <w:sz w:val="21"/>
      <w:szCs w:val="21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spacing w:after="0" w:before="200" w:line="276" w:lineRule="auto"/>
      <w:jc w:val="left"/>
    </w:pPr>
    <w:rPr>
      <w:rFonts w:ascii="Calibri" w:cs="Calibri" w:eastAsia="Calibri" w:hAnsi="Calibri"/>
      <w:color w:val="243f60"/>
      <w:sz w:val="21"/>
      <w:szCs w:val="21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spacing w:after="0" w:before="200" w:line="276" w:lineRule="auto"/>
      <w:jc w:val="left"/>
    </w:pPr>
    <w:rPr>
      <w:rFonts w:ascii="Calibri" w:cs="Calibri" w:eastAsia="Calibri" w:hAnsi="Calibri"/>
      <w:i w:val="1"/>
      <w:iCs w:val="1"/>
      <w:color w:val="243f60"/>
      <w:sz w:val="21"/>
      <w:szCs w:val="21"/>
      <w:vertAlign w:val="baseline"/>
    </w:rPr>
  </w:style>
  <w:style w:type="paragraph" w:styleId="Title">
    <w:name w:val="Title"/>
    <w:basedOn w:val="Normal"/>
    <w:next w:val="Normal"/>
    <w:pPr>
      <w:widowControl w:val="1"/>
      <w:pBdr>
        <w:top w:color="000000" w:space="0" w:sz="0" w:val="none"/>
        <w:left w:color="000000" w:space="0" w:sz="0" w:val="none"/>
        <w:bottom w:color="4f81bd" w:space="4" w:sz="8" w:val="single"/>
        <w:right w:color="000000" w:space="0" w:sz="0" w:val="none"/>
      </w:pBdr>
      <w:spacing w:after="300" w:before="0" w:line="240" w:lineRule="auto"/>
      <w:jc w:val="left"/>
    </w:pPr>
    <w:rPr>
      <w:rFonts w:ascii="Calibri" w:cs="Calibri" w:eastAsia="Calibri" w:hAnsi="Calibri"/>
      <w:color w:val="17365d"/>
      <w:sz w:val="52"/>
      <w:szCs w:val="52"/>
      <w:vertAlign w:val="baseline"/>
    </w:rPr>
  </w:style>
  <w:style w:type="paragraph" w:styleId="Heading7">
    <w:name w:val="Heading 7"/>
    <w:basedOn w:val="Normal"/>
    <w:next w:val="Normal"/>
    <w:autoRedefine w:val="0"/>
    <w:hidden w:val="0"/>
    <w:qFormat w:val="0"/>
    <w:pPr>
      <w:keepNext w:val="1"/>
      <w:keepLines w:val="1"/>
      <w:widowControl w:val="1"/>
      <w:suppressAutoHyphens w:val="0"/>
      <w:bidi w:val="0"/>
      <w:spacing w:after="0" w:before="200" w:line="276" w:lineRule="auto"/>
      <w:ind w:leftChars="-1" w:rightChars="0" w:firstLineChars="-1"/>
      <w:jc w:val="left"/>
      <w:textDirection w:val="btLr"/>
      <w:textAlignment w:val="top"/>
      <w:outlineLvl w:val="6"/>
    </w:pPr>
    <w:rPr>
      <w:rFonts w:ascii="Calibri" w:cs="" w:eastAsia="ＭＳ ゴシック" w:hAnsi="Calibri"/>
      <w:i w:val="1"/>
      <w:iCs w:val="1"/>
      <w:color w:val="404040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Heading8">
    <w:name w:val="Heading 8"/>
    <w:basedOn w:val="Normal"/>
    <w:next w:val="Normal"/>
    <w:autoRedefine w:val="0"/>
    <w:hidden w:val="0"/>
    <w:qFormat w:val="0"/>
    <w:pPr>
      <w:keepNext w:val="1"/>
      <w:keepLines w:val="1"/>
      <w:widowControl w:val="1"/>
      <w:suppressAutoHyphens w:val="0"/>
      <w:bidi w:val="0"/>
      <w:spacing w:after="0" w:before="200" w:line="276" w:lineRule="auto"/>
      <w:ind w:leftChars="-1" w:rightChars="0" w:firstLineChars="-1"/>
      <w:jc w:val="left"/>
      <w:textDirection w:val="btLr"/>
      <w:textAlignment w:val="top"/>
      <w:outlineLvl w:val="7"/>
    </w:pPr>
    <w:rPr>
      <w:rFonts w:ascii="Calibri" w:cs="" w:eastAsia="ＭＳ ゴシック" w:hAnsi="Calibri"/>
      <w:color w:val="4f81bd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paragraph" w:styleId="Heading9">
    <w:name w:val="Heading 9"/>
    <w:basedOn w:val="Normal"/>
    <w:next w:val="Normal"/>
    <w:autoRedefine w:val="0"/>
    <w:hidden w:val="0"/>
    <w:qFormat w:val="0"/>
    <w:pPr>
      <w:keepNext w:val="1"/>
      <w:keepLines w:val="1"/>
      <w:widowControl w:val="1"/>
      <w:suppressAutoHyphens w:val="0"/>
      <w:bidi w:val="0"/>
      <w:spacing w:after="0" w:before="200" w:line="276" w:lineRule="auto"/>
      <w:ind w:leftChars="-1" w:rightChars="0" w:firstLineChars="-1"/>
      <w:jc w:val="left"/>
      <w:textDirection w:val="btLr"/>
      <w:textAlignment w:val="top"/>
      <w:outlineLvl w:val="8"/>
    </w:pPr>
    <w:rPr>
      <w:rFonts w:ascii="Calibri" w:cs="" w:eastAsia="ＭＳ ゴシック" w:hAnsi="Calibri"/>
      <w:i w:val="1"/>
      <w:iCs w:val="1"/>
      <w:color w:val="404040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character" w:styleId="HeaderChar">
    <w:name w:val="Header Char"/>
    <w:basedOn w:val="DefaultParagraphFont"/>
    <w:next w:val="Header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FooterChar">
    <w:name w:val="Footer Char"/>
    <w:basedOn w:val="DefaultParagraphFont"/>
    <w:next w:val="Footer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DefaultParagraphFont">
    <w:name w:val="Default Paragraph Font"/>
    <w:next w:val="DefaultParagraph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Heading1Char">
    <w:name w:val="Heading 1 Char"/>
    <w:basedOn w:val="DefaultParagraphFont"/>
    <w:next w:val="Heading1Char"/>
    <w:autoRedefine w:val="0"/>
    <w:hidden w:val="0"/>
    <w:qFormat w:val="0"/>
    <w:rPr>
      <w:rFonts w:ascii="Calibri" w:cs="" w:eastAsia="ＭＳ ゴシック" w:hAnsi="Calibri"/>
      <w:b w:val="1"/>
      <w:bCs w:val="1"/>
      <w:color w:val="365f91"/>
      <w:w w:val="100"/>
      <w:position w:val="-1"/>
      <w:sz w:val="28"/>
      <w:szCs w:val="28"/>
      <w:effect w:val="none"/>
      <w:vertAlign w:val="baseline"/>
      <w:cs w:val="0"/>
      <w:em w:val="none"/>
      <w:lang/>
    </w:rPr>
  </w:style>
  <w:style w:type="character" w:styleId="Heading2Char">
    <w:name w:val="Heading 2 Char"/>
    <w:basedOn w:val="DefaultParagraphFont"/>
    <w:next w:val="Heading2Char"/>
    <w:autoRedefine w:val="0"/>
    <w:hidden w:val="0"/>
    <w:qFormat w:val="0"/>
    <w:rPr>
      <w:rFonts w:ascii="Calibri" w:cs="" w:eastAsia="ＭＳ ゴシック" w:hAnsi="Calibri"/>
      <w:b w:val="1"/>
      <w:bCs w:val="1"/>
      <w:color w:val="4f81bd"/>
      <w:w w:val="100"/>
      <w:position w:val="-1"/>
      <w:sz w:val="26"/>
      <w:szCs w:val="26"/>
      <w:effect w:val="none"/>
      <w:vertAlign w:val="baseline"/>
      <w:cs w:val="0"/>
      <w:em w:val="none"/>
      <w:lang/>
    </w:rPr>
  </w:style>
  <w:style w:type="character" w:styleId="Heading3Char">
    <w:name w:val="Heading 3 Char"/>
    <w:basedOn w:val="DefaultParagraphFont"/>
    <w:next w:val="Heading3Char"/>
    <w:autoRedefine w:val="0"/>
    <w:hidden w:val="0"/>
    <w:qFormat w:val="0"/>
    <w:rPr>
      <w:rFonts w:ascii="Calibri" w:cs="" w:eastAsia="ＭＳ ゴシック" w:hAnsi="Calibri"/>
      <w:b w:val="1"/>
      <w:bCs w:val="1"/>
      <w:color w:val="4f81bd"/>
      <w:w w:val="100"/>
      <w:position w:val="-1"/>
      <w:effect w:val="none"/>
      <w:vertAlign w:val="baseline"/>
      <w:cs w:val="0"/>
      <w:em w:val="none"/>
      <w:lang/>
    </w:rPr>
  </w:style>
  <w:style w:type="character" w:styleId="TitleChar">
    <w:name w:val="Title Char"/>
    <w:basedOn w:val="DefaultParagraphFont"/>
    <w:next w:val="TitleChar"/>
    <w:autoRedefine w:val="0"/>
    <w:hidden w:val="0"/>
    <w:qFormat w:val="0"/>
    <w:rPr>
      <w:rFonts w:ascii="Calibri" w:cs="" w:eastAsia="ＭＳ ゴシック" w:hAnsi="Calibri"/>
      <w:color w:val="17365d"/>
      <w:spacing w:val="5"/>
      <w:w w:val="100"/>
      <w:kern w:val="2"/>
      <w:position w:val="-1"/>
      <w:sz w:val="52"/>
      <w:szCs w:val="52"/>
      <w:effect w:val="none"/>
      <w:vertAlign w:val="baseline"/>
      <w:cs w:val="0"/>
      <w:em w:val="none"/>
      <w:lang/>
    </w:rPr>
  </w:style>
  <w:style w:type="character" w:styleId="SubtitleChar">
    <w:name w:val="Subtitle Char"/>
    <w:basedOn w:val="DefaultParagraphFont"/>
    <w:next w:val="SubtitleChar"/>
    <w:autoRedefine w:val="0"/>
    <w:hidden w:val="0"/>
    <w:qFormat w:val="0"/>
    <w:rPr>
      <w:rFonts w:ascii="Calibri" w:cs="" w:eastAsia="ＭＳ ゴシック" w:hAnsi="Calibri"/>
      <w:i w:val="1"/>
      <w:iCs w:val="1"/>
      <w:color w:val="4f81bd"/>
      <w:spacing w:val="15"/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character" w:styleId="BodyTextChar">
    <w:name w:val="Body Text Char"/>
    <w:basedOn w:val="DefaultParagraphFont"/>
    <w:next w:val="BodyText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odyText2Char">
    <w:name w:val="Body Text 2 Char"/>
    <w:basedOn w:val="DefaultParagraphFont"/>
    <w:next w:val="BodyText2Ch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odyText3Char">
    <w:name w:val="Body Text 3 Char"/>
    <w:basedOn w:val="DefaultParagraphFont"/>
    <w:next w:val="BodyText3Char"/>
    <w:autoRedefine w:val="0"/>
    <w:hidden w:val="0"/>
    <w:qFormat w:val="0"/>
    <w:rPr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MacroTextChar">
    <w:name w:val="Macro Text Char"/>
    <w:basedOn w:val="DefaultParagraphFont"/>
    <w:next w:val="MacroTextChar"/>
    <w:autoRedefine w:val="0"/>
    <w:hidden w:val="0"/>
    <w:qFormat w:val="0"/>
    <w:rPr>
      <w:rFonts w:ascii="Courier" w:hAnsi="Courier"/>
      <w:w w:val="100"/>
      <w:position w:val="-1"/>
      <w:sz w:val="20"/>
      <w:szCs w:val="20"/>
      <w:effect w:val="none"/>
      <w:vertAlign w:val="baseline"/>
      <w:cs w:val="0"/>
      <w:em w:val="none"/>
      <w:lang/>
    </w:rPr>
  </w:style>
  <w:style w:type="character" w:styleId="QuoteChar">
    <w:name w:val="Quote Char"/>
    <w:basedOn w:val="DefaultParagraphFont"/>
    <w:next w:val="QuoteChar"/>
    <w:autoRedefine w:val="0"/>
    <w:hidden w:val="0"/>
    <w:qFormat w:val="0"/>
    <w:rPr>
      <w:i w:val="1"/>
      <w:iCs w:val="1"/>
      <w:color w:val="000000"/>
      <w:w w:val="100"/>
      <w:position w:val="-1"/>
      <w:effect w:val="none"/>
      <w:vertAlign w:val="baseline"/>
      <w:cs w:val="0"/>
      <w:em w:val="none"/>
      <w:lang/>
    </w:rPr>
  </w:style>
  <w:style w:type="character" w:styleId="Heading4Char">
    <w:name w:val="Heading 4 Char"/>
    <w:basedOn w:val="DefaultParagraphFont"/>
    <w:next w:val="Heading4Char"/>
    <w:autoRedefine w:val="0"/>
    <w:hidden w:val="0"/>
    <w:qFormat w:val="0"/>
    <w:rPr>
      <w:rFonts w:ascii="Calibri" w:cs="" w:eastAsia="ＭＳ ゴシック" w:hAnsi="Calibri"/>
      <w:b w:val="1"/>
      <w:bCs w:val="1"/>
      <w:i w:val="1"/>
      <w:iCs w:val="1"/>
      <w:color w:val="4f81bd"/>
      <w:w w:val="100"/>
      <w:position w:val="-1"/>
      <w:effect w:val="none"/>
      <w:vertAlign w:val="baseline"/>
      <w:cs w:val="0"/>
      <w:em w:val="none"/>
      <w:lang/>
    </w:rPr>
  </w:style>
  <w:style w:type="character" w:styleId="Heading5Char">
    <w:name w:val="Heading 5 Char"/>
    <w:basedOn w:val="DefaultParagraphFont"/>
    <w:next w:val="Heading5Char"/>
    <w:autoRedefine w:val="0"/>
    <w:hidden w:val="0"/>
    <w:qFormat w:val="0"/>
    <w:rPr>
      <w:rFonts w:ascii="Calibri" w:cs="" w:eastAsia="ＭＳ ゴシック" w:hAnsi="Calibri"/>
      <w:color w:val="243f60"/>
      <w:w w:val="100"/>
      <w:position w:val="-1"/>
      <w:effect w:val="none"/>
      <w:vertAlign w:val="baseline"/>
      <w:cs w:val="0"/>
      <w:em w:val="none"/>
      <w:lang/>
    </w:rPr>
  </w:style>
  <w:style w:type="character" w:styleId="Heading6Char">
    <w:name w:val="Heading 6 Char"/>
    <w:basedOn w:val="DefaultParagraphFont"/>
    <w:next w:val="Heading6Char"/>
    <w:autoRedefine w:val="0"/>
    <w:hidden w:val="0"/>
    <w:qFormat w:val="0"/>
    <w:rPr>
      <w:rFonts w:ascii="Calibri" w:cs="" w:eastAsia="ＭＳ ゴシック" w:hAnsi="Calibri"/>
      <w:i w:val="1"/>
      <w:iCs w:val="1"/>
      <w:color w:val="243f60"/>
      <w:w w:val="100"/>
      <w:position w:val="-1"/>
      <w:effect w:val="none"/>
      <w:vertAlign w:val="baseline"/>
      <w:cs w:val="0"/>
      <w:em w:val="none"/>
      <w:lang/>
    </w:rPr>
  </w:style>
  <w:style w:type="character" w:styleId="Heading7Char">
    <w:name w:val="Heading 7 Char"/>
    <w:basedOn w:val="DefaultParagraphFont"/>
    <w:next w:val="Heading7Char"/>
    <w:autoRedefine w:val="0"/>
    <w:hidden w:val="0"/>
    <w:qFormat w:val="0"/>
    <w:rPr>
      <w:rFonts w:ascii="Calibri" w:cs="" w:eastAsia="ＭＳ ゴシック" w:hAnsi="Calibri"/>
      <w:i w:val="1"/>
      <w:iCs w:val="1"/>
      <w:color w:val="404040"/>
      <w:w w:val="100"/>
      <w:position w:val="-1"/>
      <w:effect w:val="none"/>
      <w:vertAlign w:val="baseline"/>
      <w:cs w:val="0"/>
      <w:em w:val="none"/>
      <w:lang/>
    </w:rPr>
  </w:style>
  <w:style w:type="character" w:styleId="Heading8Char">
    <w:name w:val="Heading 8 Char"/>
    <w:basedOn w:val="DefaultParagraphFont"/>
    <w:next w:val="Heading8Char"/>
    <w:autoRedefine w:val="0"/>
    <w:hidden w:val="0"/>
    <w:qFormat w:val="0"/>
    <w:rPr>
      <w:rFonts w:ascii="Calibri" w:cs="" w:eastAsia="ＭＳ ゴシック" w:hAnsi="Calibri"/>
      <w:color w:val="4f81bd"/>
      <w:w w:val="100"/>
      <w:position w:val="-1"/>
      <w:sz w:val="20"/>
      <w:szCs w:val="20"/>
      <w:effect w:val="none"/>
      <w:vertAlign w:val="baseline"/>
      <w:cs w:val="0"/>
      <w:em w:val="none"/>
      <w:lang/>
    </w:rPr>
  </w:style>
  <w:style w:type="character" w:styleId="Heading9Char">
    <w:name w:val="Heading 9 Char"/>
    <w:basedOn w:val="DefaultParagraphFont"/>
    <w:next w:val="Heading9Char"/>
    <w:autoRedefine w:val="0"/>
    <w:hidden w:val="0"/>
    <w:qFormat w:val="0"/>
    <w:rPr>
      <w:rFonts w:ascii="Calibri" w:cs="" w:eastAsia="ＭＳ ゴシック" w:hAnsi="Calibri"/>
      <w:i w:val="1"/>
      <w:iCs w:val="1"/>
      <w:color w:val="404040"/>
      <w:w w:val="100"/>
      <w:position w:val="-1"/>
      <w:sz w:val="20"/>
      <w:szCs w:val="20"/>
      <w:effect w:val="none"/>
      <w:vertAlign w:val="baseline"/>
      <w:cs w:val="0"/>
      <w:em w:val="none"/>
      <w:lang/>
    </w:rPr>
  </w:style>
  <w:style w:type="character" w:styleId="Strong">
    <w:name w:val="Strong"/>
    <w:basedOn w:val="DefaultParagraphFont"/>
    <w:next w:val="Strong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character" w:styleId="Emphasis">
    <w:name w:val="Emphasis"/>
    <w:basedOn w:val="DefaultParagraphFont"/>
    <w:next w:val="Emphasis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character" w:styleId="IntenseQuoteChar">
    <w:name w:val="Intense Quote Char"/>
    <w:basedOn w:val="DefaultParagraphFont"/>
    <w:next w:val="IntenseQuoteChar"/>
    <w:autoRedefine w:val="0"/>
    <w:hidden w:val="0"/>
    <w:qFormat w:val="0"/>
    <w:rPr>
      <w:b w:val="1"/>
      <w:bCs w:val="1"/>
      <w:i w:val="1"/>
      <w:iCs w:val="1"/>
      <w:color w:val="4f81bd"/>
      <w:w w:val="100"/>
      <w:position w:val="-1"/>
      <w:effect w:val="none"/>
      <w:vertAlign w:val="baseline"/>
      <w:cs w:val="0"/>
      <w:em w:val="none"/>
      <w:lang/>
    </w:rPr>
  </w:style>
  <w:style w:type="character" w:styleId="SubtleEmphasis">
    <w:name w:val="Subtle Emphasis"/>
    <w:basedOn w:val="DefaultParagraphFont"/>
    <w:next w:val="SubtleEmphasis"/>
    <w:autoRedefine w:val="0"/>
    <w:hidden w:val="0"/>
    <w:qFormat w:val="0"/>
    <w:rPr>
      <w:i w:val="1"/>
      <w:iCs w:val="1"/>
      <w:color w:val="808080"/>
      <w:w w:val="100"/>
      <w:position w:val="-1"/>
      <w:effect w:val="none"/>
      <w:vertAlign w:val="baseline"/>
      <w:cs w:val="0"/>
      <w:em w:val="none"/>
      <w:lang/>
    </w:rPr>
  </w:style>
  <w:style w:type="character" w:styleId="IntenseEmphasis">
    <w:name w:val="Intense Emphasis"/>
    <w:basedOn w:val="DefaultParagraphFont"/>
    <w:next w:val="IntenseEmphasis"/>
    <w:autoRedefine w:val="0"/>
    <w:hidden w:val="0"/>
    <w:qFormat w:val="0"/>
    <w:rPr>
      <w:b w:val="1"/>
      <w:bCs w:val="1"/>
      <w:i w:val="1"/>
      <w:iCs w:val="1"/>
      <w:color w:val="4f81bd"/>
      <w:w w:val="100"/>
      <w:position w:val="-1"/>
      <w:effect w:val="none"/>
      <w:vertAlign w:val="baseline"/>
      <w:cs w:val="0"/>
      <w:em w:val="none"/>
      <w:lang/>
    </w:rPr>
  </w:style>
  <w:style w:type="character" w:styleId="SubtleReference">
    <w:name w:val="Subtle Reference"/>
    <w:basedOn w:val="DefaultParagraphFont"/>
    <w:next w:val="SubtleReference"/>
    <w:autoRedefine w:val="0"/>
    <w:hidden w:val="0"/>
    <w:qFormat w:val="0"/>
    <w:rPr>
      <w:smallCaps w:val="1"/>
      <w:color w:val="c0504d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IntenseReference">
    <w:name w:val="Intense Reference"/>
    <w:basedOn w:val="DefaultParagraphFont"/>
    <w:next w:val="IntenseReference"/>
    <w:autoRedefine w:val="0"/>
    <w:hidden w:val="0"/>
    <w:qFormat w:val="0"/>
    <w:rPr>
      <w:b w:val="1"/>
      <w:bCs w:val="1"/>
      <w:smallCaps w:val="1"/>
      <w:color w:val="c0504d"/>
      <w:spacing w:val="5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BookTitle">
    <w:name w:val="Book Title"/>
    <w:basedOn w:val="DefaultParagraphFont"/>
    <w:next w:val="BookTitle"/>
    <w:autoRedefine w:val="0"/>
    <w:hidden w:val="0"/>
    <w:qFormat w:val="0"/>
    <w:rPr>
      <w:b w:val="1"/>
      <w:bCs w:val="1"/>
      <w:smallCaps w:val="1"/>
      <w:spacing w:val="5"/>
      <w:w w:val="100"/>
      <w:position w:val="-1"/>
      <w:effect w:val="none"/>
      <w:vertAlign w:val="baseline"/>
      <w:cs w:val="0"/>
      <w:em w:val="none"/>
      <w:lang/>
    </w:r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2">
    <w:name w:val="ListLabel 2"/>
    <w:next w:val="ListLabel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3">
    <w:name w:val="ListLabel 3"/>
    <w:next w:val="ListLabel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4">
    <w:name w:val="ListLabel 4"/>
    <w:next w:val="ListLabel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5">
    <w:name w:val="ListLabel 5"/>
    <w:next w:val="ListLabel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6">
    <w:name w:val="ListLabel 6"/>
    <w:next w:val="ListLabel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7">
    <w:name w:val="ListLabel 7"/>
    <w:next w:val="ListLabel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8">
    <w:name w:val="ListLabel 8"/>
    <w:next w:val="ListLabel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istLabel9">
    <w:name w:val="ListLabel 9"/>
    <w:next w:val="ListLabel9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Heading">
    <w:name w:val="Heading"/>
    <w:basedOn w:val="Normal"/>
    <w:next w:val="BodyText"/>
    <w:autoRedefine w:val="0"/>
    <w:hidden w:val="0"/>
    <w:qFormat w:val="0"/>
    <w:pPr>
      <w:keepNext w:val="1"/>
      <w:widowControl w:val="1"/>
      <w:suppressAutoHyphens w:val="0"/>
      <w:bidi w:val="0"/>
      <w:spacing w:after="120" w:before="24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Liberation Sans" w:cs="Lohit Devanagari" w:eastAsia="Noto Sans CJK SC" w:hAnsi="Liberation Sans"/>
      <w:w w:val="100"/>
      <w:kern w:val="0"/>
      <w:position w:val="-1"/>
      <w:sz w:val="28"/>
      <w:szCs w:val="28"/>
      <w:effect w:val="none"/>
      <w:vertAlign w:val="baseline"/>
      <w:cs w:val="0"/>
      <w:em w:val="none"/>
      <w:lang w:bidi="ar-SA" w:eastAsia="en-US" w:val="en-US"/>
    </w:rPr>
  </w:style>
  <w:style w:type="paragraph" w:styleId="BodyText">
    <w:name w:val="Body Text"/>
    <w:basedOn w:val="Normal"/>
    <w:next w:val="BodyText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">
    <w:name w:val="List"/>
    <w:basedOn w:val="Normal"/>
    <w:next w:val="List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360" w:leftChars="-1" w:rightChars="0" w:hanging="36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Caption">
    <w:name w:val="Caption"/>
    <w:basedOn w:val="Normal"/>
    <w:next w:val="Normal"/>
    <w:autoRedefine w:val="0"/>
    <w:hidden w:val="0"/>
    <w:qFormat w:val="0"/>
    <w:pPr>
      <w:widowControl w:val="1"/>
      <w:suppressAutoHyphens w:val="0"/>
      <w:bidi w:val="0"/>
      <w:spacing w:after="120" w:before="0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b w:val="1"/>
      <w:bCs w:val="1"/>
      <w:color w:val="4f81bd"/>
      <w:w w:val="100"/>
      <w:kern w:val="0"/>
      <w:position w:val="-1"/>
      <w:sz w:val="18"/>
      <w:szCs w:val="18"/>
      <w:effect w:val="none"/>
      <w:vertAlign w:val="baseline"/>
      <w:cs w:val="0"/>
      <w:em w:val="none"/>
      <w:lang w:bidi="ar-SA" w:eastAsia="en-US" w:val="en-US"/>
    </w:rPr>
  </w:style>
  <w:style w:type="paragraph" w:styleId="Index">
    <w:name w:val="Index"/>
    <w:basedOn w:val="Normal"/>
    <w:next w:val="Index"/>
    <w:autoRedefine w:val="0"/>
    <w:hidden w:val="0"/>
    <w:qFormat w:val="0"/>
    <w:pPr>
      <w:widowControl w:val="1"/>
      <w:suppressLineNumbers w:val="1"/>
      <w:suppressAutoHyphens w:val="0"/>
      <w:bidi w:val="0"/>
      <w:spacing w:after="120" w:before="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Lohit Devanagari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HeaderandFooter">
    <w:name w:val="Header and Footer"/>
    <w:basedOn w:val="Normal"/>
    <w:next w:val="HeaderandFooter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Header">
    <w:name w:val="Header"/>
    <w:basedOn w:val="Normal"/>
    <w:next w:val="Header"/>
    <w:autoRedefine w:val="0"/>
    <w:hidden w:val="0"/>
    <w:qFormat w:val="0"/>
    <w:pPr>
      <w:widowControl w:val="1"/>
      <w:tabs>
        <w:tab w:val="center" w:leader="none" w:pos="4680"/>
        <w:tab w:val="right" w:leader="none" w:pos="9360"/>
      </w:tabs>
      <w:suppressAutoHyphens w:val="0"/>
      <w:bidi w:val="0"/>
      <w:spacing w:after="0" w:before="0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Footer">
    <w:name w:val="Footer"/>
    <w:basedOn w:val="Normal"/>
    <w:next w:val="Footer"/>
    <w:autoRedefine w:val="0"/>
    <w:hidden w:val="0"/>
    <w:qFormat w:val="0"/>
    <w:pPr>
      <w:widowControl w:val="1"/>
      <w:tabs>
        <w:tab w:val="center" w:leader="none" w:pos="4680"/>
        <w:tab w:val="right" w:leader="none" w:pos="9360"/>
      </w:tabs>
      <w:suppressAutoHyphens w:val="0"/>
      <w:bidi w:val="0"/>
      <w:spacing w:after="0" w:before="0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NoSpacing">
    <w:name w:val="No Spacing"/>
    <w:next w:val="NoSpacing"/>
    <w:autoRedefine w:val="0"/>
    <w:hidden w:val="0"/>
    <w:qFormat w:val="0"/>
    <w:pPr>
      <w:widowControl w:val="1"/>
      <w:suppressAutoHyphens w:val="0"/>
      <w:bidi w:val="0"/>
      <w:spacing w:after="0" w:before="0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Cambria" w:cs="" w:eastAsia="ＭＳ 明朝" w:hAnsi="Cambria"/>
      <w:w w:val="100"/>
      <w:kern w:val="0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Paragraph">
    <w:name w:val="List Paragraph"/>
    <w:basedOn w:val="Normal"/>
    <w:next w:val="ListParagraph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720"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BodyText2">
    <w:name w:val="Body Text 2"/>
    <w:basedOn w:val="Normal"/>
    <w:next w:val="BodyText2"/>
    <w:autoRedefine w:val="0"/>
    <w:hidden w:val="0"/>
    <w:qFormat w:val="0"/>
    <w:pPr>
      <w:widowControl w:val="1"/>
      <w:suppressAutoHyphens w:val="0"/>
      <w:bidi w:val="0"/>
      <w:spacing w:after="120" w:before="0" w:line="480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BodyText3">
    <w:name w:val="Body Text 3"/>
    <w:basedOn w:val="Normal"/>
    <w:next w:val="BodyText3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16"/>
      <w:szCs w:val="16"/>
      <w:effect w:val="none"/>
      <w:vertAlign w:val="baseline"/>
      <w:cs w:val="0"/>
      <w:em w:val="none"/>
      <w:lang w:bidi="ar-SA" w:eastAsia="en-US" w:val="en-US"/>
    </w:rPr>
  </w:style>
  <w:style w:type="paragraph" w:styleId="List2">
    <w:name w:val="List 2"/>
    <w:basedOn w:val="Normal"/>
    <w:next w:val="List2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720" w:leftChars="-1" w:rightChars="0" w:hanging="36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3">
    <w:name w:val="List 3"/>
    <w:basedOn w:val="Normal"/>
    <w:next w:val="List3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1080" w:leftChars="-1" w:rightChars="0" w:hanging="36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Bullet">
    <w:name w:val="List Bullet"/>
    <w:basedOn w:val="Normal"/>
    <w:next w:val="ListBullet"/>
    <w:autoRedefine w:val="0"/>
    <w:hidden w:val="0"/>
    <w:qFormat w:val="0"/>
    <w:pPr>
      <w:widowControl w:val="1"/>
      <w:numPr>
        <w:ilvl w:val="0"/>
        <w:numId w:val="1"/>
      </w:numPr>
      <w:suppressAutoHyphens w:val="0"/>
      <w:bidi w:val="0"/>
      <w:spacing w:after="120" w:before="0" w:line="276" w:lineRule="auto"/>
      <w:ind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Bullet2">
    <w:name w:val="List Bullet 2"/>
    <w:basedOn w:val="Normal"/>
    <w:next w:val="ListBullet2"/>
    <w:autoRedefine w:val="0"/>
    <w:hidden w:val="0"/>
    <w:qFormat w:val="0"/>
    <w:pPr>
      <w:widowControl w:val="1"/>
      <w:numPr>
        <w:ilvl w:val="0"/>
        <w:numId w:val="2"/>
      </w:numPr>
      <w:suppressAutoHyphens w:val="0"/>
      <w:bidi w:val="0"/>
      <w:spacing w:after="120" w:before="0" w:line="276" w:lineRule="auto"/>
      <w:ind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Bullet3">
    <w:name w:val="List Bullet 3"/>
    <w:basedOn w:val="Normal"/>
    <w:next w:val="ListBullet3"/>
    <w:autoRedefine w:val="0"/>
    <w:hidden w:val="0"/>
    <w:qFormat w:val="0"/>
    <w:pPr>
      <w:widowControl w:val="1"/>
      <w:numPr>
        <w:ilvl w:val="0"/>
        <w:numId w:val="3"/>
      </w:numPr>
      <w:suppressAutoHyphens w:val="0"/>
      <w:bidi w:val="0"/>
      <w:spacing w:after="120" w:before="0" w:line="276" w:lineRule="auto"/>
      <w:ind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Number">
    <w:name w:val="List Number"/>
    <w:basedOn w:val="Normal"/>
    <w:next w:val="ListNumber"/>
    <w:autoRedefine w:val="0"/>
    <w:hidden w:val="0"/>
    <w:qFormat w:val="0"/>
    <w:pPr>
      <w:widowControl w:val="1"/>
      <w:numPr>
        <w:ilvl w:val="0"/>
        <w:numId w:val="4"/>
      </w:numPr>
      <w:suppressAutoHyphens w:val="0"/>
      <w:bidi w:val="0"/>
      <w:spacing w:after="120" w:before="0" w:line="276" w:lineRule="auto"/>
      <w:ind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Number2">
    <w:name w:val="List Number 2"/>
    <w:basedOn w:val="Normal"/>
    <w:next w:val="ListNumber2"/>
    <w:autoRedefine w:val="0"/>
    <w:hidden w:val="0"/>
    <w:qFormat w:val="0"/>
    <w:pPr>
      <w:widowControl w:val="1"/>
      <w:numPr>
        <w:ilvl w:val="0"/>
        <w:numId w:val="5"/>
      </w:numPr>
      <w:suppressAutoHyphens w:val="0"/>
      <w:bidi w:val="0"/>
      <w:spacing w:after="120" w:before="0" w:line="276" w:lineRule="auto"/>
      <w:ind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Number3">
    <w:name w:val="List Number 3"/>
    <w:basedOn w:val="Normal"/>
    <w:next w:val="ListNumber3"/>
    <w:autoRedefine w:val="0"/>
    <w:hidden w:val="0"/>
    <w:qFormat w:val="0"/>
    <w:pPr>
      <w:widowControl w:val="1"/>
      <w:numPr>
        <w:ilvl w:val="0"/>
        <w:numId w:val="6"/>
      </w:numPr>
      <w:suppressAutoHyphens w:val="0"/>
      <w:bidi w:val="0"/>
      <w:spacing w:after="120" w:before="0" w:line="276" w:lineRule="auto"/>
      <w:ind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Continue">
    <w:name w:val="List Continue"/>
    <w:basedOn w:val="Normal"/>
    <w:next w:val="ListContinue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360"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Continue2">
    <w:name w:val="List Continue 2"/>
    <w:basedOn w:val="Normal"/>
    <w:next w:val="ListContinue2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720"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ListContinue3">
    <w:name w:val="List Continue 3"/>
    <w:basedOn w:val="Normal"/>
    <w:next w:val="ListContinue3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="1080" w:leftChars="-1" w:rightChars="0" w:firstLineChars="-1"/>
      <w:contextualSpacing w:val="1"/>
      <w:jc w:val="left"/>
      <w:textDirection w:val="btLr"/>
      <w:textAlignment w:val="top"/>
      <w:outlineLvl w:val="0"/>
    </w:pPr>
    <w:rPr>
      <w:rFonts w:ascii="Arial" w:cs="" w:eastAsia="ＭＳ 明朝" w:hAnsi="Arial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macro">
    <w:name w:val="macro"/>
    <w:next w:val="macro"/>
    <w:autoRedefine w:val="0"/>
    <w:hidden w:val="0"/>
    <w:qFormat w:val="0"/>
    <w:pPr>
      <w:widowControl w:val="1"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0"/>
      <w:bidi w:val="0"/>
      <w:spacing w:after="200" w:before="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Courier" w:cs="" w:eastAsia="ＭＳ 明朝" w:hAnsi="Courier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paragraph" w:styleId="Quote">
    <w:name w:val="Quote"/>
    <w:basedOn w:val="Normal"/>
    <w:next w:val="Normal"/>
    <w:autoRedefine w:val="0"/>
    <w:hidden w:val="0"/>
    <w:qFormat w:val="0"/>
    <w:pPr>
      <w:widowControl w:val="1"/>
      <w:suppressAutoHyphens w:val="0"/>
      <w:bidi w:val="0"/>
      <w:spacing w:after="120" w:before="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i w:val="1"/>
      <w:iCs w:val="1"/>
      <w:color w:val="000000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IntenseQuote">
    <w:name w:val="Intense Quote"/>
    <w:basedOn w:val="Normal"/>
    <w:next w:val="Normal"/>
    <w:autoRedefine w:val="0"/>
    <w:hidden w:val="0"/>
    <w:qFormat w:val="0"/>
    <w:pPr>
      <w:widowControl w:val="1"/>
      <w:pBdr>
        <w:top w:color="000000" w:space="0" w:sz="0" w:val="none"/>
        <w:left w:color="000000" w:space="0" w:sz="0" w:val="none"/>
        <w:bottom w:color="4f81bd" w:space="4" w:sz="4" w:val="single"/>
        <w:right w:color="000000" w:space="0" w:sz="0" w:val="none"/>
      </w:pBdr>
      <w:suppressAutoHyphens w:val="0"/>
      <w:bidi w:val="0"/>
      <w:spacing w:after="280" w:before="200" w:line="276" w:lineRule="auto"/>
      <w:ind w:left="936" w:right="936" w:leftChars="-1" w:rightChars="0" w:firstLineChars="-1"/>
      <w:jc w:val="left"/>
      <w:textDirection w:val="btLr"/>
      <w:textAlignment w:val="top"/>
      <w:outlineLvl w:val="0"/>
    </w:pPr>
    <w:rPr>
      <w:rFonts w:ascii="Arial" w:cs="" w:eastAsia="ＭＳ 明朝" w:hAnsi="Arial"/>
      <w:b w:val="1"/>
      <w:bCs w:val="1"/>
      <w:i w:val="1"/>
      <w:iCs w:val="1"/>
      <w:color w:val="4f81bd"/>
      <w:w w:val="100"/>
      <w:kern w:val="0"/>
      <w:position w:val="-1"/>
      <w:sz w:val="21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IndexHeading">
    <w:name w:val="Index Heading"/>
    <w:basedOn w:val="Heading"/>
    <w:next w:val="IndexHeading"/>
    <w:autoRedefine w:val="0"/>
    <w:hidden w:val="0"/>
    <w:qFormat w:val="0"/>
    <w:pPr>
      <w:keepNext w:val="1"/>
      <w:widowControl w:val="1"/>
      <w:suppressAutoHyphens w:val="0"/>
      <w:bidi w:val="0"/>
      <w:spacing w:after="120" w:before="240" w:line="276" w:lineRule="auto"/>
      <w:ind w:leftChars="-1" w:rightChars="0" w:firstLineChars="-1"/>
      <w:jc w:val="left"/>
      <w:textDirection w:val="btLr"/>
      <w:textAlignment w:val="top"/>
      <w:outlineLvl w:val="0"/>
    </w:pPr>
    <w:rPr>
      <w:rFonts w:ascii="Liberation Sans" w:cs="Lohit Devanagari" w:eastAsia="Noto Sans CJK SC" w:hAnsi="Liberation Sans"/>
      <w:w w:val="100"/>
      <w:kern w:val="0"/>
      <w:position w:val="-1"/>
      <w:sz w:val="28"/>
      <w:szCs w:val="28"/>
      <w:effect w:val="none"/>
      <w:vertAlign w:val="baseline"/>
      <w:cs w:val="0"/>
      <w:em w:val="none"/>
      <w:lang w:bidi="ar-SA" w:eastAsia="en-US" w:val="en-US"/>
    </w:rPr>
  </w:style>
  <w:style w:type="paragraph" w:styleId="TOCHeading">
    <w:name w:val="TOC Heading"/>
    <w:basedOn w:val="Heading1"/>
    <w:next w:val="Normal"/>
    <w:autoRedefine w:val="0"/>
    <w:hidden w:val="0"/>
    <w:qFormat w:val="0"/>
    <w:pPr>
      <w:keepNext w:val="1"/>
      <w:keepLines w:val="1"/>
      <w:widowControl w:val="1"/>
      <w:suppressAutoHyphens w:val="0"/>
      <w:bidi w:val="0"/>
      <w:spacing w:after="100" w:before="180" w:line="276" w:lineRule="auto"/>
      <w:ind w:leftChars="-1" w:rightChars="0" w:firstLineChars="-1"/>
      <w:jc w:val="left"/>
      <w:textDirection w:val="btLr"/>
      <w:textAlignment w:val="top"/>
      <w:outlineLvl w:val="9"/>
    </w:pPr>
    <w:rPr>
      <w:rFonts w:ascii="Calibri" w:cs="" w:eastAsia="ＭＳ ゴシック" w:hAnsi="Calibri"/>
      <w:b w:val="1"/>
      <w:bCs w:val="1"/>
      <w:color w:val="123a63"/>
      <w:w w:val="100"/>
      <w:kern w:val="0"/>
      <w:position w:val="-1"/>
      <w:sz w:val="36"/>
      <w:szCs w:val="28"/>
      <w:effect w:val="none"/>
      <w:vertAlign w:val="baseline"/>
      <w:cs w:val="0"/>
      <w:em w:val="none"/>
      <w:lang w:bidi="ar-SA" w:eastAsia="en-US" w:val="en-US"/>
    </w:rPr>
  </w:style>
  <w:style w:type="paragraph" w:styleId="Subtitle">
    <w:name w:val="Subtitle"/>
    <w:basedOn w:val="Normal"/>
    <w:next w:val="Normal"/>
    <w:pPr>
      <w:widowControl w:val="1"/>
      <w:spacing w:after="120" w:before="0" w:line="276" w:lineRule="auto"/>
      <w:jc w:val="left"/>
    </w:pPr>
    <w:rPr>
      <w:rFonts w:ascii="Calibri" w:cs="Calibri" w:eastAsia="Calibri" w:hAnsi="Calibri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3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I6z8nBm9XRgkJ7/Nc/85x+j9mg==">CgMxLjA4AHIhMVVoeS1pcW50NW5CU21jem9tX1BwZ0NRU2F4bVpEWUxk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Manus AI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str>14.0000</vt:lpstr>
  </property>
</Properties>
</file>