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Análise exploratória para localização capacitada</w:t>
      </w:r>
    </w:p>
    <w:p>
      <w:pPr>
        <w:pStyle w:val="Subtitle"/>
        <w:rPr/>
      </w:pPr>
      <w:r>
        <w:rPr/>
        <w:t>GCC118 Programação Matemática  •  Fase 1</w:t>
      </w:r>
    </w:p>
    <w:p>
      <w:pPr>
        <w:pStyle w:val="Normal"/>
        <w:rPr/>
      </w:pPr>
      <w:r>
        <w:rPr/>
        <w:t>O problema estudado consiste em escolher onde instalar unidades de atendimento e como distribuir a população entre elas, respeitando suas capacidades e reduzindo deslocamentos. Nesta primeira etapa, a análise avalia se os dados do IBGE permitem preparar esse problema e quais diferenças existem entre as instâncias municipais brasileiras.</w:t>
      </w:r>
    </w:p>
    <w:p>
      <w:pPr>
        <w:pStyle w:val="Heading1"/>
        <w:rPr/>
      </w:pPr>
      <w:r>
        <w:rPr/>
        <w:t>Dados e preparação</w:t>
      </w:r>
    </w:p>
    <w:p>
      <w:pPr>
        <w:pStyle w:val="Normal"/>
        <w:rPr/>
      </w:pPr>
      <w:r>
        <w:rPr/>
        <w:t>A análise utiliza a malha do Censo 2022 com população e domicílios, disponível no arquivo BR_setores_CD2022.gpkg. Cada setor é identificado por CD_SETOR, tem sua população registrada em v0001 e sua área em AREA_KM2. O modelo considera que uma instalação pode atender moradores de vários setores e que a demanda de um setor pode ser dividida entre instalações.</w:t>
      </w:r>
    </w:p>
    <w:p>
      <w:pPr>
        <w:pStyle w:val="Normal"/>
        <w:rPr/>
      </w:pPr>
      <w:r>
        <w:rPr/>
        <w:t>Antes da soma da população, os códigos repetidos foram conferidos e seus atributos selecionados apresentaram valores iguais. Esses valores foram contados uma única vez, enquanto as partes geométricas foram reunidas na análise municipal. O recorte mantém todos os setores urbanos e rurais. Os setores sem moradores permanecem como candidatos, embora não gerem demanda.</w:t>
      </w:r>
    </w:p>
    <w:tbl>
      <w:tblPr>
        <w:tblW w:w="9864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noHBand="0" w:noVBand="1" w:firstColumn="1" w:lastRow="0" w:lastColumn="0" w:firstRow="1" w:val="04a0"/>
      </w:tblPr>
      <w:tblGrid>
        <w:gridCol w:w="6236"/>
        <w:gridCol w:w="3628"/>
      </w:tblGrid>
      <w:tr>
        <w:trPr>
          <w:tblHeader w:val="true"/>
          <w:cantSplit/>
        </w:trPr>
        <w:tc>
          <w:tcPr>
            <w:tcW w:w="62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/>
                <w:sz w:val="18"/>
              </w:rPr>
              <w:t>Indicador do inventário</w:t>
            </w:r>
          </w:p>
        </w:tc>
        <w:tc>
          <w:tcPr>
            <w:tcW w:w="36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w="62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Registros originais / setores únicos</w:t>
            </w:r>
          </w:p>
        </w:tc>
        <w:tc>
          <w:tcPr>
            <w:tcW w:w="36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472.780 / 468.099</w:t>
            </w:r>
          </w:p>
        </w:tc>
      </w:tr>
      <w:tr>
        <w:trPr>
          <w:cantSplit/>
        </w:trPr>
        <w:tc>
          <w:tcPr>
            <w:tcW w:w="62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Repetições além da primeira</w:t>
            </w:r>
          </w:p>
        </w:tc>
        <w:tc>
          <w:tcPr>
            <w:tcW w:w="36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4.681</w:t>
            </w:r>
          </w:p>
        </w:tc>
      </w:tr>
      <w:tr>
        <w:trPr>
          <w:cantSplit/>
        </w:trPr>
        <w:tc>
          <w:tcPr>
            <w:tcW w:w="62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Setores urbanos e rurais / com demanda positiva</w:t>
            </w:r>
          </w:p>
        </w:tc>
        <w:tc>
          <w:tcPr>
            <w:tcW w:w="36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466.996 / 458.772</w:t>
            </w:r>
          </w:p>
        </w:tc>
      </w:tr>
      <w:tr>
        <w:trPr>
          <w:cantSplit/>
        </w:trPr>
        <w:tc>
          <w:tcPr>
            <w:tcW w:w="62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Recortes municipais ou equivalentes / UFs</w:t>
            </w:r>
          </w:p>
        </w:tc>
        <w:tc>
          <w:tcPr>
            <w:tcW w:w="36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5.570 / 27</w:t>
            </w:r>
          </w:p>
        </w:tc>
      </w:tr>
      <w:tr>
        <w:trPr>
          <w:cantSplit/>
        </w:trPr>
        <w:tc>
          <w:tcPr>
            <w:tcW w:w="6236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População somada no recorte urbano e rural</w:t>
            </w:r>
          </w:p>
        </w:tc>
        <w:tc>
          <w:tcPr>
            <w:tcW w:w="362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203.080.756</w:t>
            </w:r>
          </w:p>
        </w:tc>
      </w:tr>
    </w:tbl>
    <w:p>
      <w:pPr>
        <w:pStyle w:val="Normal"/>
        <w:spacing w:before="100" w:after="120"/>
        <w:rPr/>
      </w:pPr>
      <w:r>
        <w:rPr/>
        <w:t>As verificações não identificaram códigos essenciais ausentes, áreas ausentes ou não positivas, nem populações ausentes, negativas ou não inteiras. O recorte reúne 354.965 setores urbanos e 112.031 rurais. Ficaram fora dele 1.101 setores de massas de água e dois sem situação identificada, todos sem moradores. A qualidade geométrica foi examinada nos casos municipais selecionados.</w:t>
      </w:r>
    </w:p>
    <w:p>
      <w:pPr>
        <w:pStyle w:val="Heading1"/>
        <w:rPr/>
      </w:pPr>
      <w:r>
        <w:rPr/>
        <w:t>Escala nacional</w:t>
      </w:r>
    </w:p>
    <w:p>
      <w:pPr>
        <w:pStyle w:val="Normal"/>
        <w:rPr/>
      </w:pPr>
      <w:r>
        <w:rPr/>
        <w:t>A maioria das instâncias é pequena em comparação com os maiores municípios. A mediana é de 31 setores e 90% dos recortes têm até 140. O máximo chega a 27.291. Essa diferença orienta o estudo de tamanhos crescentes e indica que os casos maiores podem exigir adaptações na etapa de modelagem.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5687695" cy="2211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69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Figura 1  Distribuição nacional dos tamanhos municipais. Fonte: processamento da base IBGE.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Visão geral das Unidades da Federação</w:t>
      </w:r>
    </w:p>
    <w:p>
      <w:pPr>
        <w:pStyle w:val="Normal"/>
        <w:rPr/>
      </w:pPr>
      <w:r>
        <w:rPr/>
        <w:t>O agrupamento das instâncias pelas 27 UFs permite observar como a escala varia pelo país. A tabela reúne todos os recortes municipais do inventário. O DF corresponde a uma única instância cadastral equivalente. As contagens refletem a base analisada e não uma atualização da divisão administrativa.</w:t>
      </w:r>
    </w:p>
    <w:tbl>
      <w:tblPr>
        <w:tblW w:w="9863" w:type="dxa"/>
        <w:jc w:val="center"/>
        <w:tblInd w:w="0" w:type="dxa"/>
        <w:tblLayout w:type="fixed"/>
        <w:tblCellMar>
          <w:top w:w="55" w:type="dxa"/>
          <w:start w:w="90" w:type="dxa"/>
          <w:bottom w:w="55" w:type="dxa"/>
          <w:end w:w="90" w:type="dxa"/>
        </w:tblCellMar>
        <w:tblLook w:noHBand="0" w:noVBand="1" w:firstColumn="1" w:lastRow="0" w:lastColumn="0" w:firstRow="1" w:val="04a0"/>
      </w:tblPr>
      <w:tblGrid>
        <w:gridCol w:w="2890"/>
        <w:gridCol w:w="1247"/>
        <w:gridCol w:w="1417"/>
        <w:gridCol w:w="2722"/>
        <w:gridCol w:w="1587"/>
      </w:tblGrid>
      <w:tr>
        <w:trPr>
          <w:tblHeader w:val="true"/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/>
                <w:sz w:val="18"/>
              </w:rPr>
              <w:t>UF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Instâncias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Setores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População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Mediana¹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Acre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22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2.215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830.018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54,0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Alagoas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102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6.357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3.127.683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36,5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Amapá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16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1.477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733.759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27,5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Amazonas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62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10.674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3.941.613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107,5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Bahia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417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30.924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14.141.626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42,0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Ceará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184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20.967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8.794.957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65,5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Distrito Federal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5.414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2.817.381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5.414,0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Espírito Santo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78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8.687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3.833.712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45,5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Goiás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246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12.859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7.056.495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18,0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Maranhão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217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16.268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6.776.699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45,0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Mato Grosso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141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9.378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3.658.649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39,0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Mato Grosso do Sul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79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6.098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2.757.013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38,0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Minas Gerais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853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51.323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20.539.989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25,0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Paraná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399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23.652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11.444.380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26,0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Paraíba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223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9.634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3.974.687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19,0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Pará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144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16.494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8.120.131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66,5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Pernambuco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185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19.557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9.058.931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52,0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Piauí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224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7.331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3.271.199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16,0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Rio Grande do Norte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167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6.086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3.302.729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18,0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Rio Grande do Sul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497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25.548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10.882.965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19,0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Rio de Janeiro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92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41.628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16.055.174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149,0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Rondônia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52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3.456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1.581.196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34,5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Roraima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15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1.769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636.707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92,0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Santa Catarina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295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16.698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7.610.361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23,0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Sergipe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75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5.320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2.210.004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37,0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São Paulo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645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103.071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44.411.238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37,0</w:t>
            </w:r>
          </w:p>
        </w:tc>
      </w:tr>
      <w:tr>
        <w:trPr>
          <w:cantSplit/>
        </w:trPr>
        <w:tc>
          <w:tcPr>
            <w:tcW w:w="289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Tocantins</w:t>
            </w:r>
          </w:p>
        </w:tc>
        <w:tc>
          <w:tcPr>
            <w:tcW w:w="124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139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4.111</w:t>
            </w:r>
          </w:p>
        </w:tc>
        <w:tc>
          <w:tcPr>
            <w:tcW w:w="2722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1.511.460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15,0</w:t>
            </w:r>
          </w:p>
        </w:tc>
      </w:tr>
    </w:tbl>
    <w:p>
      <w:pPr>
        <w:pStyle w:val="Caption"/>
        <w:spacing w:before="100" w:after="120"/>
        <w:rPr/>
      </w:pPr>
      <w:r>
        <w:rPr/>
        <w:t xml:space="preserve">¹ </w:t>
      </w:r>
      <w:r>
        <w:rPr/>
        <w:t>Mediana de setores urbanos e rurais por instância. Fonte: processamento da base IBGE.</w:t>
      </w:r>
    </w:p>
    <w:p>
      <w:pPr>
        <w:pStyle w:val="Normal"/>
        <w:rPr/>
      </w:pPr>
      <w:r>
        <w:rPr/>
        <w:t>Os totais estaduais precisam ser interpretados junto ao tamanho de cada município. Em SP, a mediana é 37 setores, mas o município de São Paulo reúne 27.291. Em MG, a mediana é 25 e o maior caso tem 5.166. O DF reúne 5.414 setores em um único recorte. A qualidade dos polígonos permanece na análise municipal.</w:t>
      </w:r>
    </w:p>
    <w:p>
      <w:pPr>
        <w:pStyle w:val="Heading1"/>
        <w:rPr/>
      </w:pPr>
      <w:r>
        <w:rPr/>
        <w:t>Dimensão prevista</w:t>
      </w:r>
    </w:p>
    <w:p>
      <w:pPr>
        <w:pStyle w:val="Normal"/>
        <w:rPr/>
      </w:pPr>
      <w:r>
        <w:rPr/>
        <w:t>Com n setores como origens e candidatos, a dimensão prevista é de n² pares, sem a construção de matrizes completas. Origens sem população podem ser omitidas na modelagem, mantendo seus setores como candidatos. A necessidade de memória e o tempo do solver dependerão também da formulação e das capacidades.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Lavras São Paulo e Distrito Federal</w:t>
      </w:r>
    </w:p>
    <w:p>
      <w:pPr>
        <w:pStyle w:val="Normal"/>
        <w:rPr/>
      </w:pPr>
      <w:r>
        <w:rPr/>
        <w:t>Lavras foi selecionada para apresentar a preparação dos dados em detalhe. São Paulo e Brasília/DF permitem observar como a escala e o perfil territorial mudam em recortes maiores. A comparação segue a mesma regra de contagem e usa a população dos setores como demanda.</w:t>
      </w:r>
    </w:p>
    <w:tbl>
      <w:tblPr>
        <w:tblW w:w="8730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noHBand="0" w:noVBand="1" w:firstColumn="1" w:lastRow="0" w:lastColumn="0" w:firstRow="1" w:val="04a0"/>
      </w:tblPr>
      <w:tblGrid>
        <w:gridCol w:w="2097"/>
        <w:gridCol w:w="1587"/>
        <w:gridCol w:w="1417"/>
        <w:gridCol w:w="2778"/>
        <w:gridCol w:w="851"/>
      </w:tblGrid>
      <w:tr>
        <w:trPr>
          <w:tblHeader w:val="true"/>
          <w:cantSplit/>
        </w:trPr>
        <w:tc>
          <w:tcPr>
            <w:tcW w:w="20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/>
                <w:sz w:val="18"/>
              </w:rPr>
              <w:t>Recorte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Candidatos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Origens¹</w:t>
            </w:r>
          </w:p>
        </w:tc>
        <w:tc>
          <w:tcPr>
            <w:tcW w:w="277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População</w:t>
            </w:r>
          </w:p>
        </w:tc>
        <w:tc>
          <w:tcPr>
            <w:tcW w:w="8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Rural²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Lavras MG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218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218</w:t>
            </w:r>
          </w:p>
        </w:tc>
        <w:tc>
          <w:tcPr>
            <w:tcW w:w="277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104.761</w:t>
            </w:r>
          </w:p>
        </w:tc>
        <w:tc>
          <w:tcPr>
            <w:tcW w:w="8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4,38%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São Paulo SP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27.291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26.889</w:t>
            </w:r>
          </w:p>
        </w:tc>
        <w:tc>
          <w:tcPr>
            <w:tcW w:w="277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11.451.999</w:t>
            </w:r>
          </w:p>
        </w:tc>
        <w:tc>
          <w:tcPr>
            <w:tcW w:w="8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0,15%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Brasília DF</w:t>
            </w:r>
          </w:p>
        </w:tc>
        <w:tc>
          <w:tcPr>
            <w:tcW w:w="158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5.414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5.342</w:t>
            </w:r>
          </w:p>
        </w:tc>
        <w:tc>
          <w:tcPr>
            <w:tcW w:w="277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2.817.381</w:t>
            </w:r>
          </w:p>
        </w:tc>
        <w:tc>
          <w:tcPr>
            <w:tcW w:w="85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3,52%</w:t>
            </w:r>
          </w:p>
        </w:tc>
      </w:tr>
    </w:tbl>
    <w:p>
      <w:pPr>
        <w:pStyle w:val="Caption"/>
        <w:spacing w:before="100" w:after="120"/>
        <w:rPr/>
      </w:pPr>
      <w:r>
        <w:rPr/>
        <w:t xml:space="preserve">¹ </w:t>
      </w:r>
      <w:r>
        <w:rPr/>
        <w:t>Setores com demanda positiva. ² Participação da população rural no total do recorte urbano e rural.</w:t>
      </w:r>
    </w:p>
    <w:p>
      <w:pPr>
        <w:pStyle w:val="Normal"/>
        <w:rPr/>
      </w:pPr>
      <w:r>
        <w:rPr/>
        <w:t>Em Lavras, os 29 setores rurais ocupam 90,80% da área analisada, mas abrigam apenas 4,38% da população. Os 189 urbanos concentram os demais moradores. A densidade agregada é 8,98 hab./km² no rural e 1.936,72 no urbano. O contraste mostra por que a extensão territorial não deve substituir a população na definição da demanda.</w:t>
      </w:r>
    </w:p>
    <w:p>
      <w:pPr>
        <w:pStyle w:val="Normal"/>
        <w:keepNext w:val="true"/>
        <w:spacing w:before="0" w:after="40"/>
        <w:jc w:val="center"/>
        <w:rPr/>
      </w:pPr>
      <w:r>
        <w:rPr/>
        <w:drawing>
          <wp:inline distT="0" distB="0" distL="0" distR="0">
            <wp:extent cx="3743960" cy="3408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340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/>
      </w:pPr>
      <w:r>
        <w:rPr/>
        <w:t>Figura 2  Densidade média dos setores de Lavras. Cores em escala logarítmica local. Fonte: base IBGE.</w:t>
      </w:r>
    </w:p>
    <w:p>
      <w:pPr>
        <w:pStyle w:val="Normal"/>
        <w:rPr/>
      </w:pPr>
      <w:r>
        <w:rPr/>
        <w:t>Em São Paulo, 99,85% dos moradores estão em setores urbanos. No DF, os setores rurais ocupam 83,44% da área analisada e abrigam 3,52% da população. A densidade ajuda a interpretar essas diferenças, mas expressa uma média do setor. Ela não informa onde seus moradores estão localizados dentro do polígono.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Situação territorial e tipos de setor</w:t>
      </w:r>
    </w:p>
    <w:p>
      <w:pPr>
        <w:pStyle w:val="Normal"/>
        <w:rPr/>
      </w:pPr>
      <w:r>
        <w:rPr/>
        <w:t>A interpretação dos setores utiliza duas classificações do dicionário. CD_SIT descreve a situação territorial, como área urbana, povoado ou área rural. CD_TIPO identifica ocupações como setores não especiais, favelas e comunidades urbanas e unidades prisionais. Todos os códigos encontrados nos três recortes foram identificados.</w:t>
      </w:r>
    </w:p>
    <w:p>
      <w:pPr>
        <w:pStyle w:val="Normal"/>
        <w:rPr/>
      </w:pPr>
      <w:r>
        <w:rPr/>
        <w:t>Em Lavras, os dez setores urbanos de baixa densidade de edificações concentram 58,43% da área urbana. Essa classificação não equivale à densidade demográfica. A análise por tipo identifica 214 setores não especiais, um prisional e três institucionais. O setor prisional reúne 137 moradores em cerca de 691 m², o que ajuda a explicar seu valor elevado de densidade.</w:t>
      </w:r>
    </w:p>
    <w:p>
      <w:pPr>
        <w:pStyle w:val="Normal"/>
        <w:rPr/>
      </w:pPr>
      <w:r>
        <w:rPr/>
        <w:t>Os setores classificados como Favela e Comunidade Urbana concentram 15,09% da população de São Paulo e 7,06% da população do DF nesta base. Essas categorias permanecem na análise. Seus tipos ajudam a caracterizar a demanda, sem criar restrições adicionais de atendimento no modelo considerado.</w:t>
      </w:r>
    </w:p>
    <w:p>
      <w:pPr>
        <w:pStyle w:val="Heading1"/>
        <w:rPr/>
      </w:pPr>
      <w:r>
        <w:rPr/>
        <w:t>Representação e qualidade geométrica</w:t>
      </w:r>
    </w:p>
    <w:tbl>
      <w:tblPr>
        <w:tblW w:w="8730" w:type="dxa"/>
        <w:jc w:val="center"/>
        <w:tblInd w:w="0" w:type="dxa"/>
        <w:tblLayout w:type="fixed"/>
        <w:tblCellMar>
          <w:top w:w="90" w:type="dxa"/>
          <w:start w:w="90" w:type="dxa"/>
          <w:bottom w:w="90" w:type="dxa"/>
          <w:end w:w="90" w:type="dxa"/>
        </w:tblCellMar>
        <w:tblLook w:noHBand="0" w:noVBand="1" w:firstColumn="1" w:lastRow="0" w:lastColumn="0" w:firstRow="1" w:val="04a0"/>
      </w:tblPr>
      <w:tblGrid>
        <w:gridCol w:w="2550"/>
        <w:gridCol w:w="2268"/>
        <w:gridCol w:w="2495"/>
        <w:gridCol w:w="1417"/>
      </w:tblGrid>
      <w:tr>
        <w:trPr>
          <w:tblHeader w:val="true"/>
          <w:cantSplit/>
        </w:trPr>
        <w:tc>
          <w:tcPr>
            <w:tcW w:w="255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/>
                <w:sz w:val="18"/>
              </w:rPr>
              <w:t>Recorte</w:t>
            </w:r>
          </w:p>
        </w:tc>
        <w:tc>
          <w:tcPr>
            <w:tcW w:w="22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Geometrias inválidas</w:t>
            </w:r>
          </w:p>
        </w:tc>
        <w:tc>
          <w:tcPr>
            <w:tcW w:w="24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Centroides externos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D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18"/>
              </w:rPr>
              <w:t>Proporção externa</w:t>
            </w:r>
          </w:p>
        </w:tc>
      </w:tr>
      <w:tr>
        <w:trPr>
          <w:cantSplit/>
        </w:trPr>
        <w:tc>
          <w:tcPr>
            <w:tcW w:w="255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Lavras MG</w:t>
            </w:r>
          </w:p>
        </w:tc>
        <w:tc>
          <w:tcPr>
            <w:tcW w:w="22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0</w:t>
            </w:r>
          </w:p>
        </w:tc>
        <w:tc>
          <w:tcPr>
            <w:tcW w:w="24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1,83%</w:t>
            </w:r>
          </w:p>
        </w:tc>
      </w:tr>
      <w:tr>
        <w:trPr>
          <w:cantSplit/>
        </w:trPr>
        <w:tc>
          <w:tcPr>
            <w:tcW w:w="255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São Paulo SP</w:t>
            </w:r>
          </w:p>
        </w:tc>
        <w:tc>
          <w:tcPr>
            <w:tcW w:w="22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3</w:t>
            </w:r>
          </w:p>
        </w:tc>
        <w:tc>
          <w:tcPr>
            <w:tcW w:w="24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1.120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7F7F7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4,10%</w:t>
            </w:r>
          </w:p>
        </w:tc>
      </w:tr>
      <w:tr>
        <w:trPr>
          <w:cantSplit/>
        </w:trPr>
        <w:tc>
          <w:tcPr>
            <w:tcW w:w="2550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b w:val="false"/>
                <w:sz w:val="18"/>
              </w:rPr>
              <w:t>Brasília DF</w:t>
            </w:r>
          </w:p>
        </w:tc>
        <w:tc>
          <w:tcPr>
            <w:tcW w:w="226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0</w:t>
            </w:r>
          </w:p>
        </w:tc>
        <w:tc>
          <w:tcPr>
            <w:tcW w:w="24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128</w:t>
            </w:r>
          </w:p>
        </w:tc>
        <w:tc>
          <w:tcPr>
            <w:tcW w:w="141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 w:val="false"/>
                <w:sz w:val="18"/>
              </w:rPr>
              <w:t>2,36%</w:t>
            </w:r>
          </w:p>
        </w:tc>
      </w:tr>
    </w:tbl>
    <w:p>
      <w:pPr>
        <w:pStyle w:val="Normal"/>
        <w:spacing w:before="100" w:after="120"/>
        <w:rPr/>
      </w:pPr>
      <w:r>
        <w:rPr/>
        <w:t>A verificação geométrica identificou três polígonos inválidos em São Paulo, que precisam ser revisados antes da modelagem. Os centroides externos foram mantidos como aproximação e registrados na tabela. Eles resultam da forma dos polígonos e não representam a distribuição dos moradores. A validade geométrica, por sua vez, não comprova precisão cartográfica ou ausência de sobreposições.</w:t>
      </w:r>
    </w:p>
    <w:p>
      <w:pPr>
        <w:pStyle w:val="Normal"/>
        <w:rPr/>
      </w:pPr>
      <w:r>
        <w:rPr/>
        <w:t>Como a malha original usa SIRGAS 2000 em graus, cada recorte é projetado em metros antes do cálculo de centroides e distâncias euclidianas. A área do IBGE é preservada para calcular densidade. Uma origem foi usada para demonstrar as distâncias até os candidatos. O valor zero para seu próprio candidato decorre da representação coincidente dos dois pontos.</w:t>
      </w:r>
    </w:p>
    <w:p>
      <w:pPr>
        <w:pStyle w:val="Heading1"/>
        <w:rPr/>
      </w:pPr>
      <w:r>
        <w:rPr/>
        <w:t>Conclusão e continuidade</w:t>
      </w:r>
    </w:p>
    <w:p>
      <w:pPr>
        <w:pStyle w:val="Normal"/>
        <w:rPr/>
      </w:pPr>
      <w:r>
        <w:rPr/>
        <w:t>A análise mostra que os dados permitem identificar a demanda e preparar locais candidatos em diferentes escalas. O inventário nacional orienta a seleção de instâncias, os resumos estaduais contextualizam suas diferenças e os casos municipais detalham a preparação. A próxima etapa será definir a quantidade e as capacidades das instalações, compatíveis com a unidade e o horizonte da demanda.</w:t>
      </w:r>
    </w:p>
    <w:p>
      <w:pPr>
        <w:pStyle w:val="Normal"/>
        <w:rPr/>
      </w:pPr>
      <w:r>
        <w:rPr/>
        <w:t>O modelo ainda terá de considerar as limitações dessa representação. A população descreve 2022, os centroides aproximam a posição dos moradores e as distâncias não incorporam a rede viária. Os candidatos também não foram verificados quanto à disponibilidade física. A viabilidade operacional e computacional será avaliada na próxima fase, com os testes em solver.</w:t>
      </w:r>
    </w:p>
    <w:p>
      <w:pPr>
        <w:pStyle w:val="Heading1"/>
        <w:rPr/>
      </w:pPr>
      <w:r>
        <w:rPr/>
        <w:t>Fontes e reprodução</w:t>
      </w:r>
    </w:p>
    <w:p>
      <w:pPr>
        <w:pStyle w:val="Caption"/>
        <w:rPr/>
      </w:pPr>
      <w:r>
        <w:rPr/>
        <w:t xml:space="preserve">Repositório </w:t>
      </w:r>
      <w:hyperlink r:id="rId4">
        <w:r>
          <w:rPr>
            <w:rStyle w:val="Hyperlink"/>
          </w:rPr>
          <w:t>github</w:t>
        </w:r>
      </w:hyperlink>
      <w:r>
        <w:rPr/>
        <w:t>.</w:t>
      </w:r>
    </w:p>
    <w:p>
      <w:pPr>
        <w:pStyle w:val="Caption"/>
        <w:rPr/>
      </w:pPr>
      <w:r>
        <w:rPr/>
        <w:t xml:space="preserve">Os dados e as descrições provêm do IBGE, nos arquivos BR_setores_CD2022.gpkg e Dicionario_de_dados_malha_agregados.xlsx. A análise pode ser reproduzida nos notebooks AED_Brasil.ipynb, AED_UF.ipynb e AED_Municipal.ipynb. Tabelas e figuras refletem a versão local analisada. </w:t>
      </w:r>
      <w:hyperlink r:id="rId5">
        <w:r>
          <w:rPr>
            <w:rStyle w:val="Hyperlink"/>
          </w:rPr>
          <w:t>Fonte</w:t>
        </w:r>
      </w:hyperlink>
    </w:p>
    <w:p>
      <w:pPr>
        <w:pStyle w:val="Normal"/>
        <w:spacing w:before="0" w:after="120"/>
        <w:rPr>
          <w:b w:val="false"/>
          <w:bCs w:val="false"/>
        </w:rPr>
      </w:pPr>
      <w:r>
        <w:rPr>
          <w:b w:val="false"/>
          <w:bCs w:val="false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020" w:right="1020" w:gutter="0" w:header="0" w:top="1020" w:footer="397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sz w:val="16"/>
      </w:rPr>
      <w:t xml:space="preserve">GCC118  |  AED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sz w:val="16"/>
      </w:rPr>
      <w:t xml:space="preserve">GCC118  |  AED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20"/>
      <w:jc w:val="start"/>
    </w:pPr>
    <w:rPr>
      <w:rFonts w:ascii="Arial" w:hAnsi="Arial" w:eastAsia="ＭＳ 明朝" w:cs=""/>
      <w:color w:val="000000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8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 w:before="0" w:after="120"/>
    </w:pPr>
    <w:rPr>
      <w:rFonts w:ascii="Arial" w:hAnsi="Arial"/>
      <w:b w:val="false"/>
      <w:bCs/>
      <w:i w:val="false"/>
      <w:color w:val="000000"/>
      <w:sz w:val="17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3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</w:pPr>
    <w:rPr>
      <w:rFonts w:ascii="Calibri" w:hAnsi="Calibri" w:eastAsia="ＭＳ ゴシック" w:cs="" w:asciiTheme="majorHAnsi" w:cstheme="majorBidi" w:eastAsiaTheme="majorEastAsia" w:hAnsiTheme="majorHAnsi"/>
      <w:i w:val="false"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JoaoReiiis/PM" TargetMode="External"/><Relationship Id="rId5" Type="http://schemas.openxmlformats.org/officeDocument/2006/relationships/hyperlink" Target="https://www.ibge.gov.br/estatisticas/sociais/trabalho/22827-censo-demografico-2022.html?edicao=41852&amp;t=resultados" TargetMode="Externa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Application>LibreOffice/26.2.5.2$Linux_X86_64 LibreOffice_project/620$Build-2</Application>
  <AppVersion>15.0000</AppVersion>
  <Pages>4</Pages>
  <Words>1332</Words>
  <Characters>7356</Characters>
  <CharactersWithSpaces>8465</CharactersWithSpaces>
  <Paragraphs>226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pt-BR</dc:language>
  <cp:lastModifiedBy/>
  <cp:lastPrinted>2026-10-12T19:40:46Z</cp:lastPrinted>
  <dcterms:modified xsi:type="dcterms:W3CDTF">2026-10-12T19:40:53Z</dcterms:modified>
  <cp:revision>3</cp:revision>
  <dc:subject>Fase 1 de GCC118 com dados do Censo 2022</dc:subject>
  <dc:title>Análise exploratória para localização capacitada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