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João Vitor Santana Lopes</w:t>
      </w:r>
    </w:p>
    <w:p w:rsidR="00000000" w:rsidDel="00000000" w:rsidP="00000000" w:rsidRDefault="00000000" w:rsidRPr="00000000" w14:paraId="00000002">
      <w:pPr>
        <w:rPr/>
      </w:pPr>
      <w:r w:rsidDel="00000000" w:rsidR="00000000" w:rsidRPr="00000000">
        <w:rPr>
          <w:rtl w:val="0"/>
        </w:rPr>
        <w:br w:type="textWrapping"/>
        <w:t xml:space="preserve">O artigo "Managing Technical Debt", de Steve McConnell, apresenta uma ideia muito interessante para quem trabalha com desenvolvimento de software. Ele usa uma metáfora que todo mundo entende: a de uma dívida financeira. A "dívida técnica" acontece quando os desenvolvedores pegam atalhos para entregar um projeto mais rápido. Assim como um empréstimo no banco, isso pode ser útil no momento, mas gera um custo no futuro.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McConnell explica que existem basicamente dois tipos dessa dívida. Uma delas é a não intencional, que acontece sem querer, seja por um trabalho de baixa qualidade ou por uma decisão de design que se mostra errada depois. A outra, que é o foco principal do texto, é a dívida intencional. É quando a equipe decide conscientemente tomar um atalho para cumprir um prazo importante, pensando algo como: "se não lançarmos o produto agora, não haverá um futuro para ele".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 autor compara essa dívida intencional a diferentes tipos de empréstimos. Existe a dívida de curto prazo, que é como usar o cartão de crédito para resolver uma emergência, e a de longo prazo, que seria como financiar uma grande expansão da empresa. Ele alerta, porém, para um tipo de dívida especialmente perigoso: a que acumula centenas de pequenos atalhos, como nomes ruins de variáveis ou falta de comentários. Isso é como uma dívida de cartão de crédito que cresce rapidamente sem que a gente perceba e, no fim, não compensa nem mesmo no curto prazo.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Uma das partes mais importantes do artigo é quando ele fala sobre os "juros" dessa dívida. Quando se acumulam muitos atalhos, a equipe começa a gastar cada vez mais tempo consertando problemas antigos e fazendo manutenção, em vez de criar novas funcionalidades. Para evitar que isso vire uma bola de neve, o autor sugere que essa dívida seja visível para todos, incluindo a área de negócios. Isso pode ser feito mantendo uma lista de "dívidas a pagar" no sistema de gerenciamento de tarefas do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Por fim, o texto dá um conselho muito prático sobre como tomar a decisão de contrair ou não uma dívida técnica. Em vez de pensar apenas em duas opções, o "jeito certo e demorado" versus o "jeito rápido e sujo", a equipe deveria sempre buscar uma terceira alternativa. Muitas vezes, existe um caminho do meio: uma solução que é rápida, mas que é feita de uma forma mais inteligente, isolando o "atalho" para que ele não gere "juros" e não atrapalhe o desenvolvimento de outras partes do sistema no futuro.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Em resumo, o artigo mostra que a dívida técnica não é sempre uma vilã. Assim como no mundo financeiro, ela pode ser uma ferramenta estratégica se for gerenciada de forma consciente e transparente. A chave é saber o tipo de dívida que se está contraindo, entender seus custos futuros e ter um plano para pagá-la.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