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C442B9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C442B9"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6F730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6F73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</w:t>
      </w:r>
      <w:r w:rsidR="00C442B9">
        <w:rPr>
          <w:bCs/>
          <w:i/>
          <w:sz w:val="20"/>
        </w:rPr>
        <w:t xml:space="preserve"> en fonction du type de projet,</w:t>
      </w:r>
      <w:r w:rsidRPr="00791020">
        <w:rPr>
          <w:bCs/>
          <w:i/>
          <w:sz w:val="20"/>
        </w:rPr>
        <w:t xml:space="preserve">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  <w:bookmarkStart w:id="0" w:name="_GoBack"/>
      <w:bookmarkEnd w:id="0"/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304" w:rsidRDefault="006F7304">
      <w:r>
        <w:separator/>
      </w:r>
    </w:p>
  </w:endnote>
  <w:endnote w:type="continuationSeparator" w:id="0">
    <w:p w:rsidR="006F7304" w:rsidRDefault="006F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442B9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304" w:rsidRDefault="006F7304">
      <w:r>
        <w:separator/>
      </w:r>
    </w:p>
  </w:footnote>
  <w:footnote w:type="continuationSeparator" w:id="0">
    <w:p w:rsidR="006F7304" w:rsidRDefault="006F7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 w:rsidR="00C442B9">
      <w:rPr>
        <w:rFonts w:cs="Arial"/>
        <w:b/>
        <w:bCs/>
        <w:szCs w:val="24"/>
      </w:rPr>
      <w:t>Bataille Navale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7304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442B9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62901B3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1199</Words>
  <Characters>6595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7779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CARVALHO-SANTOS Joao-Alexandre</cp:lastModifiedBy>
  <cp:revision>4</cp:revision>
  <cp:lastPrinted>2004-09-01T12:58:00Z</cp:lastPrinted>
  <dcterms:created xsi:type="dcterms:W3CDTF">2017-11-09T22:28:00Z</dcterms:created>
  <dcterms:modified xsi:type="dcterms:W3CDTF">2022-03-23T15:41:00Z</dcterms:modified>
</cp:coreProperties>
</file>