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0"/>
              <w:left w:type="dxa" w:w="400"/>
              <w:bottom w:type="dxa" w:w="500"/>
              <w:right w:type="dxa" w:w="400"/>
            </w:tcMar>
          </w:tcPr>
          <w:p>
            <w:pPr>
              <w:spacing w:after="80" w:before="0"/>
              <w:jc w:val="center"/>
            </w:pPr>
            <w:r>
              <w:rPr>
                <w:rFonts w:ascii="Arial" w:cs="Arial" w:eastAsia="Arial" w:hAnsi="Arial"/>
                <w:caps/>
                <w:color w:val="A8C8E8"/>
                <w:sz w:val="18"/>
                <w:szCs w:val="18"/>
              </w:rPr>
              <w:t xml:space="preserve">ANÁLISE DE VIABILIDADE TÉCNICA — DOCUMENTO UNIFICADO</w:t>
            </w:r>
          </w:p>
          <w:p>
            <w:pPr>
              <w:spacing w:after="80" w:before="0"/>
              <w:jc w:val="center"/>
            </w:pPr>
            <w:r>
              <w:rPr>
                <w:rFonts w:ascii="Arial" w:cs="Arial" w:eastAsia="Arial" w:hAnsi="Arial"/>
                <w:b/>
                <w:bCs/>
                <w:color w:val="FFFFFF"/>
                <w:sz w:val="44"/>
                <w:szCs w:val="44"/>
              </w:rPr>
              <w:t xml:space="preserve">Assistente de IA com RAG</w:t>
            </w:r>
          </w:p>
          <w:p>
            <w:pPr>
              <w:spacing w:after="0" w:before="0"/>
              <w:jc w:val="center"/>
            </w:pPr>
            <w:r>
              <w:rPr>
                <w:rFonts w:ascii="Arial" w:cs="Arial" w:eastAsia="Arial" w:hAnsi="Arial"/>
                <w:color w:val="A8C8E8"/>
                <w:sz w:val="22"/>
                <w:szCs w:val="22"/>
              </w:rPr>
              <w:t xml:space="preserve">NovaTech Logística · DB1 Technology</w:t>
            </w:r>
          </w:p>
        </w:tc>
      </w:tr>
      <w:tr>
        <w:tc>
          <w:tcPr>
            <w:tcW w:type="dxa" w:w="9360"/>
            <w:tcBorders>
              <w:top w:val="none" w:color="FFFFFF" w:sz="0"/>
              <w:left w:val="none" w:color="FFFFFF" w:sz="0"/>
              <w:bottom w:val="none" w:color="FFFFFF" w:sz="0"/>
              <w:right w:val="none" w:color="FFFFFF" w:sz="0"/>
            </w:tcBorders>
            <w:shd w:fill="2E6DA4" w:val="clear"/>
            <w:tcMar>
              <w:top w:type="dxa" w:w="130"/>
              <w:left w:type="dxa" w:w="400"/>
              <w:bottom w:type="dxa" w:w="130"/>
              <w:right w:type="dxa" w:w="400"/>
            </w:tcMar>
          </w:tcPr>
          <w:p>
            <w:pPr>
              <w:jc w:val="center"/>
            </w:pPr>
            <w:r>
              <w:rPr>
                <w:rFonts w:ascii="Arial" w:cs="Arial" w:eastAsia="Arial" w:hAnsi="Arial"/>
                <w:color w:val="FFFFFF"/>
                <w:sz w:val="18"/>
                <w:szCs w:val="18"/>
              </w:rPr>
              <w:t xml:space="preserve">Versão 3.0 — Documento Unificado  |  Confidencial  |  Maio 2025</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200"/>
              <w:bottom w:type="dxa" w:w="60"/>
              <w:right w:type="dxa" w:w="200"/>
            </w:tcMar>
          </w:tcPr>
          <w:p>
            <w:r>
              <w:rPr>
                <w:rFonts w:ascii="Arial" w:cs="Arial" w:eastAsia="Arial" w:hAnsi="Arial"/>
                <w:b/>
                <w:bCs/>
                <w:color w:val="FFFFFF"/>
                <w:sz w:val="20"/>
                <w:szCs w:val="20"/>
              </w:rPr>
              <w:t xml:space="preserve">▸  RESUMO EXECUTIVO</w:t>
            </w:r>
          </w:p>
        </w:tc>
      </w:tr>
      <w:tr>
        <w:tc>
          <w:tcPr>
            <w:tcW w:type="dxa" w:w="9360"/>
            <w:tcBorders>
              <w:top w:val="single" w:color="C8D8E8" w:sz="1"/>
              <w:left w:val="single" w:color="C8D8E8" w:sz="1"/>
              <w:bottom w:val="single" w:color="C8D8E8" w:sz="1"/>
              <w:right w:val="single" w:color="C8D8E8" w:sz="1"/>
            </w:tcBorders>
            <w:shd w:fill="EBF3FA" w:val="clear"/>
            <w:tcMar>
              <w:top w:type="dxa" w:w="80"/>
              <w:left w:type="dxa" w:w="200"/>
              <w:bottom w:type="dxa" w:w="80"/>
              <w:right w:type="dxa" w:w="200"/>
            </w:tcMar>
          </w:tcPr>
          <w:p>
            <w:r>
              <w:rPr>
                <w:rFonts w:ascii="Arial" w:cs="Arial" w:eastAsia="Arial" w:hAnsi="Arial"/>
                <w:b/>
                <w:bCs/>
                <w:color w:val="1E3A5F"/>
                <w:sz w:val="20"/>
                <w:szCs w:val="20"/>
              </w:rPr>
              <w:t xml:space="preserve">Projeto:  </w:t>
            </w:r>
            <w:r>
              <w:rPr>
                <w:rFonts w:ascii="Arial" w:cs="Arial" w:eastAsia="Arial" w:hAnsi="Arial"/>
                <w:color w:val="333333"/>
                <w:sz w:val="20"/>
                <w:szCs w:val="20"/>
              </w:rPr>
              <w:t xml:space="preserve">Assistente de IA com RAG para Atendimento ao Cliente — NovaTech Logística</w:t>
            </w:r>
          </w:p>
        </w:tc>
      </w:tr>
      <w:tr>
        <w:tc>
          <w:tcPr>
            <w:tcW w:type="dxa" w:w="9360"/>
            <w:tcBorders>
              <w:top w:val="single" w:color="C8D8E8" w:sz="1"/>
              <w:left w:val="single" w:color="C8D8E8" w:sz="1"/>
              <w:bottom w:val="single" w:color="C8D8E8" w:sz="1"/>
              <w:right w:val="single" w:color="C8D8E8" w:sz="1"/>
            </w:tcBorders>
            <w:shd w:fill="FFFFFF" w:val="clear"/>
            <w:tcMar>
              <w:top w:type="dxa" w:w="80"/>
              <w:left w:type="dxa" w:w="200"/>
              <w:bottom w:type="dxa" w:w="80"/>
              <w:right w:type="dxa" w:w="200"/>
            </w:tcMar>
          </w:tcPr>
          <w:p>
            <w:r>
              <w:rPr>
                <w:rFonts w:ascii="Arial" w:cs="Arial" w:eastAsia="Arial" w:hAnsi="Arial"/>
                <w:b/>
                <w:bCs/>
                <w:color w:val="1E3A5F"/>
                <w:sz w:val="20"/>
                <w:szCs w:val="20"/>
              </w:rPr>
              <w:t xml:space="preserve">Versão:  </w:t>
            </w:r>
            <w:r>
              <w:rPr>
                <w:rFonts w:ascii="Arial" w:cs="Arial" w:eastAsia="Arial" w:hAnsi="Arial"/>
                <w:color w:val="333333"/>
                <w:sz w:val="20"/>
                <w:szCs w:val="20"/>
              </w:rPr>
              <w:t xml:space="preserve">3.0 — Documento unificado. Incorpora revisão crítica arquitetural (v2.0) e redesenho da Seção 3 orientado por tipos de pergunta (v2.1).</w:t>
            </w:r>
          </w:p>
        </w:tc>
      </w:tr>
      <w:tr>
        <w:tc>
          <w:tcPr>
            <w:tcW w:type="dxa" w:w="9360"/>
            <w:tcBorders>
              <w:top w:val="single" w:color="C8D8E8" w:sz="1"/>
              <w:left w:val="single" w:color="C8D8E8" w:sz="1"/>
              <w:bottom w:val="single" w:color="C8D8E8" w:sz="1"/>
              <w:right w:val="single" w:color="C8D8E8" w:sz="1"/>
            </w:tcBorders>
            <w:shd w:fill="EBF3FA" w:val="clear"/>
            <w:tcMar>
              <w:top w:type="dxa" w:w="80"/>
              <w:left w:type="dxa" w:w="200"/>
              <w:bottom w:type="dxa" w:w="80"/>
              <w:right w:type="dxa" w:w="200"/>
            </w:tcMar>
          </w:tcPr>
          <w:p>
            <w:r>
              <w:rPr>
                <w:rFonts w:ascii="Arial" w:cs="Arial" w:eastAsia="Arial" w:hAnsi="Arial"/>
                <w:b/>
                <w:bCs/>
                <w:color w:val="1E3A5F"/>
                <w:sz w:val="20"/>
                <w:szCs w:val="20"/>
              </w:rPr>
              <w:t xml:space="preserve">Executor:  </w:t>
            </w:r>
            <w:r>
              <w:rPr>
                <w:rFonts w:ascii="Arial" w:cs="Arial" w:eastAsia="Arial" w:hAnsi="Arial"/>
                <w:color w:val="333333"/>
                <w:sz w:val="20"/>
                <w:szCs w:val="20"/>
              </w:rPr>
              <w:t xml:space="preserve">DB1 Technology</w:t>
            </w:r>
          </w:p>
        </w:tc>
      </w:tr>
      <w:tr>
        <w:tc>
          <w:tcPr>
            <w:tcW w:type="dxa" w:w="9360"/>
            <w:tcBorders>
              <w:top w:val="single" w:color="C8D8E8" w:sz="1"/>
              <w:left w:val="single" w:color="C8D8E8" w:sz="1"/>
              <w:bottom w:val="single" w:color="C8D8E8" w:sz="1"/>
              <w:right w:val="single" w:color="C8D8E8" w:sz="1"/>
            </w:tcBorders>
            <w:shd w:fill="FFFFFF" w:val="clear"/>
            <w:tcMar>
              <w:top w:type="dxa" w:w="80"/>
              <w:left w:type="dxa" w:w="200"/>
              <w:bottom w:type="dxa" w:w="80"/>
              <w:right w:type="dxa" w:w="200"/>
            </w:tcMar>
          </w:tcPr>
          <w:p>
            <w:r>
              <w:rPr>
                <w:rFonts w:ascii="Arial" w:cs="Arial" w:eastAsia="Arial" w:hAnsi="Arial"/>
                <w:b/>
                <w:bCs/>
                <w:color w:val="1E3A5F"/>
                <w:sz w:val="20"/>
                <w:szCs w:val="20"/>
              </w:rPr>
              <w:t xml:space="preserve">Objetivo:  </w:t>
            </w:r>
            <w:r>
              <w:rPr>
                <w:rFonts w:ascii="Arial" w:cs="Arial" w:eastAsia="Arial" w:hAnsi="Arial"/>
                <w:color w:val="333333"/>
                <w:sz w:val="20"/>
                <w:szCs w:val="20"/>
              </w:rPr>
              <w:t xml:space="preserve">Reduzir tempo médio de busca de 12 min para &lt; 2 min por chamado (320 chamados/dia, 60% com consulta documental)</w:t>
            </w:r>
          </w:p>
        </w:tc>
      </w:tr>
      <w:tr>
        <w:tc>
          <w:tcPr>
            <w:tcW w:type="dxa" w:w="9360"/>
            <w:tcBorders>
              <w:top w:val="single" w:color="C8D8E8" w:sz="1"/>
              <w:left w:val="single" w:color="C8D8E8" w:sz="1"/>
              <w:bottom w:val="single" w:color="C8D8E8" w:sz="1"/>
              <w:right w:val="single" w:color="C8D8E8" w:sz="1"/>
            </w:tcBorders>
            <w:shd w:fill="EBF3FA" w:val="clear"/>
            <w:tcMar>
              <w:top w:type="dxa" w:w="80"/>
              <w:left w:type="dxa" w:w="200"/>
              <w:bottom w:type="dxa" w:w="80"/>
              <w:right w:type="dxa" w:w="200"/>
            </w:tcMar>
          </w:tcPr>
          <w:p>
            <w:r>
              <w:rPr>
                <w:rFonts w:ascii="Arial" w:cs="Arial" w:eastAsia="Arial" w:hAnsi="Arial"/>
                <w:b/>
                <w:bCs/>
                <w:color w:val="1E3A5F"/>
                <w:sz w:val="20"/>
                <w:szCs w:val="20"/>
              </w:rPr>
              <w:t xml:space="preserve">Modelo LLM:  </w:t>
            </w:r>
            <w:r>
              <w:rPr>
                <w:rFonts w:ascii="Arial" w:cs="Arial" w:eastAsia="Arial" w:hAnsi="Arial"/>
                <w:color w:val="333333"/>
                <w:sz w:val="20"/>
                <w:szCs w:val="20"/>
              </w:rPr>
              <w:t xml:space="preserve">GPT-4o · Janela de 128K tokens · Azure OpenAI Service</w:t>
            </w:r>
          </w:p>
        </w:tc>
      </w:tr>
      <w:tr>
        <w:tc>
          <w:tcPr>
            <w:tcW w:type="dxa" w:w="9360"/>
            <w:tcBorders>
              <w:top w:val="single" w:color="C8D8E8" w:sz="1"/>
              <w:left w:val="single" w:color="C8D8E8" w:sz="1"/>
              <w:bottom w:val="single" w:color="C8D8E8" w:sz="1"/>
              <w:right w:val="single" w:color="C8D8E8" w:sz="1"/>
            </w:tcBorders>
            <w:shd w:fill="FFFFFF" w:val="clear"/>
            <w:tcMar>
              <w:top w:type="dxa" w:w="80"/>
              <w:left w:type="dxa" w:w="200"/>
              <w:bottom w:type="dxa" w:w="80"/>
              <w:right w:type="dxa" w:w="200"/>
            </w:tcMar>
          </w:tcPr>
          <w:p>
            <w:r>
              <w:rPr>
                <w:rFonts w:ascii="Arial" w:cs="Arial" w:eastAsia="Arial" w:hAnsi="Arial"/>
                <w:b/>
                <w:bCs/>
                <w:color w:val="1E3A5F"/>
                <w:sz w:val="20"/>
                <w:szCs w:val="20"/>
              </w:rPr>
              <w:t xml:space="preserve">Estrutura:  </w:t>
            </w:r>
            <w:r>
              <w:rPr>
                <w:rFonts w:ascii="Arial" w:cs="Arial" w:eastAsia="Arial" w:hAnsi="Arial"/>
                <w:color w:val="333333"/>
                <w:sz w:val="20"/>
                <w:szCs w:val="20"/>
              </w:rPr>
              <w:t xml:space="preserve">Seção 00 — Lacunas da v1.0 · Seção 01 — Extração de Fontes · Seção 02 — Estimativa de Tokens · Seção 03 — Chunking e Retrieval por Tipo de Pergunta · Seção 04 — Resumo de Decisões</w:t>
            </w:r>
          </w:p>
        </w:tc>
      </w:tr>
    </w:tbl>
    <w:p>
      <w:pPr>
        <w:spacing w:after="140" w:before="0"/>
      </w:pPr>
    </w:p>
    <w:p>
      <w:pPr>
        <w:spacing w:after="100" w:before="60"/>
      </w:pPr>
      <w:r>
        <w:rPr>
          <w:rFonts w:ascii="Arial" w:cs="Arial" w:eastAsia="Arial" w:hAnsi="Arial"/>
          <w:color w:val="333333"/>
          <w:sz w:val="20"/>
          <w:szCs w:val="20"/>
        </w:rPr>
        <w:t xml:space="preserve">Este documento consolida as três versões anteriores em um único artefato de referência. A Seção 00 cataloga as 12 lacunas identificadas na v1.0 e justifica as correções aplicadas. As Seções 01 e 02 incorporam as correções da revisão crítica. A Seção 03 foi integralmente reescrita a partir da variável que deveria ter guiado o design desde o início: os tipos de pergunta que os atendentes da NovaTech realmente fazem. A Seção 04 consolida todas as decisões arquiteturais comparando v1.0 e v3.0.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C0392B" w:val="clear"/>
            <w:tcMar>
              <w:top w:type="dxa" w:w="120"/>
              <w:left w:type="dxa" w:w="120"/>
              <w:bottom w:type="dxa" w:w="120"/>
              <w:right w:type="dxa" w:w="100"/>
            </w:tcMar>
          </w:tcPr>
          <w:p>
            <w:pPr>
              <w:jc w:val="center"/>
            </w:pPr>
            <w:r>
              <w:rPr>
                <w:rFonts w:ascii="Arial" w:cs="Arial" w:eastAsia="Arial" w:hAnsi="Arial"/>
                <w:b/>
                <w:bCs/>
                <w:color w:val="FFFFFF"/>
                <w:sz w:val="28"/>
                <w:szCs w:val="28"/>
              </w:rPr>
              <w:t xml:space="preserve">00</w:t>
            </w:r>
          </w:p>
        </w:tc>
        <w:tc>
          <w:tcPr>
            <w:tcW w:type="dxa" w:w="8580"/>
            <w:tcBorders>
              <w:top w:val="none" w:color="FFFFFF" w:sz="0"/>
              <w:left w:val="none" w:color="FFFFFF" w:sz="0"/>
              <w:bottom w:val="none" w:color="FFFFFF" w:sz="0"/>
              <w:right w:val="none" w:color="FFFFFF" w:sz="0"/>
            </w:tcBorders>
            <w:shd w:fill="EBF3FA" w:val="clear"/>
            <w:tcMar>
              <w:top w:type="dxa" w:w="120"/>
              <w:left w:type="dxa" w:w="240"/>
              <w:bottom w:type="dxa" w:w="120"/>
              <w:right w:type="dxa" w:w="140"/>
            </w:tcMar>
          </w:tcPr>
          <w:p>
            <w:r>
              <w:rPr>
                <w:rFonts w:ascii="Arial" w:cs="Arial" w:eastAsia="Arial" w:hAnsi="Arial"/>
                <w:b/>
                <w:bCs/>
                <w:color w:val="1E3A5F"/>
                <w:sz w:val="26"/>
                <w:szCs w:val="26"/>
              </w:rPr>
              <w:t xml:space="preserve">Revisão Crítica da v1.0 — Lacunas e Riscos Identificados</w:t>
            </w:r>
          </w:p>
        </w:tc>
      </w:tr>
    </w:tbl>
    <w:p>
      <w:pPr>
        <w:spacing w:after="80" w:before="0"/>
      </w:pPr>
    </w:p>
    <w:p>
      <w:pPr>
        <w:spacing w:after="100" w:before="60"/>
      </w:pPr>
      <w:r>
        <w:rPr>
          <w:rFonts w:ascii="Arial" w:cs="Arial" w:eastAsia="Arial" w:hAnsi="Arial"/>
          <w:color w:val="333333"/>
          <w:sz w:val="20"/>
          <w:szCs w:val="20"/>
        </w:rPr>
        <w:t xml:space="preserve">Um documento de viabilidade que não endereça falhas potenciais não serve ao cliente — serve ao consultor. As 12 lacunas abaixo foram identificadas na v1.0 e estão corrigidas nas seções seguintes. A classificação de severidade orienta a prioridade de atenção durante o desenvolvimento.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19"/>
                <w:szCs w:val="19"/>
              </w:rPr>
              <w:t xml:space="preserve">Risco / Lacuna</w:t>
            </w:r>
          </w:p>
        </w:tc>
        <w:tc>
          <w:tcPr>
            <w:tcW w:type="dxa" w:w="1200"/>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Severidade</w:t>
            </w:r>
          </w:p>
        </w:tc>
        <w:tc>
          <w:tcPr>
            <w:tcW w:type="dxa" w:w="5960"/>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19"/>
                <w:szCs w:val="19"/>
              </w:rPr>
              <w:t xml:space="preserve">Detalhe e Implicação</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Ausência de baseline de qualidade</w:t>
            </w:r>
          </w:p>
        </w:tc>
        <w:tc>
          <w:tcPr>
            <w:tcW w:type="dxa" w:w="1200"/>
            <w:tcBorders>
              <w:top w:val="single" w:color="C8D8E8" w:sz="1"/>
              <w:left w:val="single" w:color="C8D8E8" w:sz="1"/>
              <w:bottom w:val="single" w:color="C8D8E8" w:sz="1"/>
              <w:right w:val="single" w:color="C8D8E8" w:sz="1"/>
            </w:tcBorders>
            <w:shd w:fill="FFFFFF" w:val="clear"/>
            <w:tcMar>
              <w:top w:type="dxa" w:w="80"/>
              <w:left w:type="dxa" w:w="80"/>
              <w:bottom w:type="dxa" w:w="80"/>
              <w:right w:type="dxa" w:w="80"/>
            </w:tcMar>
          </w:tcPr>
          <w:p>
            <w:pPr>
              <w:jc w:val="center"/>
            </w:pPr>
            <w:r>
              <w:rPr>
                <w:rFonts w:ascii="Arial" w:cs="Arial" w:eastAsia="Arial" w:hAnsi="Arial"/>
                <w:b/>
                <w:bCs/>
                <w:color w:val="C0392B"/>
                <w:sz w:val="18"/>
                <w:szCs w:val="18"/>
              </w:rPr>
              <w:t xml:space="preserve">CRÍTICO</w:t>
            </w:r>
          </w:p>
        </w:tc>
        <w:tc>
          <w:tcPr>
            <w:tcW w:type="dxa" w:w="5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 v1.0 não propôs nenhuma métrica de avaliação (Faithfulness, Context Recall, Hallucination Rate). Sem framework de avaliação definido antes do desenvolvimento, não existe critério objetivo de sucesso ou falha. A meta '&lt; 2 min' é de negócio, não de qualidade de resposta. Corrigido na Seção 3.6.</w:t>
            </w:r>
          </w:p>
        </w:tc>
      </w:tr>
      <w:tr>
        <w:tc>
          <w:tcPr>
            <w:tcW w:type="dxa" w:w="220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120"/>
            </w:tcMar>
          </w:tcPr>
          <w:p>
            <w:r>
              <w:rPr>
                <w:rFonts w:ascii="Arial" w:cs="Arial" w:eastAsia="Arial" w:hAnsi="Arial"/>
                <w:b/>
                <w:bCs/>
                <w:color w:val="333333"/>
                <w:sz w:val="19"/>
                <w:szCs w:val="19"/>
              </w:rPr>
              <w:t xml:space="preserve">Latência não estimada</w:t>
            </w:r>
          </w:p>
        </w:tc>
        <w:tc>
          <w:tcPr>
            <w:tcW w:type="dxa" w:w="1200"/>
            <w:tcBorders>
              <w:top w:val="single" w:color="C8D8E8" w:sz="1"/>
              <w:left w:val="single" w:color="C8D8E8" w:sz="1"/>
              <w:bottom w:val="single" w:color="C8D8E8" w:sz="1"/>
              <w:right w:val="single" w:color="C8D8E8" w:sz="1"/>
            </w:tcBorders>
            <w:shd w:fill="F5F7F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CRÍTICO</w:t>
            </w:r>
          </w:p>
        </w:tc>
        <w:tc>
          <w:tcPr>
            <w:tcW w:type="dxa" w:w="596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A v1.0 afirma '&lt; 5 segundos' sem análise. Um pipeline RAG real envolve: embedding da query, ANN search, cross-encoder reranking, montagem do prompt e inferência LLM. Reranking com cross-encoder pode adicionar 1–3 s sozinho. Corrigido na Seção 3.2 com decomposição por etapa.</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Custo operacional não estimado</w:t>
            </w:r>
          </w:p>
        </w:tc>
        <w:tc>
          <w:tcPr>
            <w:tcW w:type="dxa" w:w="1200"/>
            <w:tcBorders>
              <w:top w:val="single" w:color="C8D8E8" w:sz="1"/>
              <w:left w:val="single" w:color="C8D8E8" w:sz="1"/>
              <w:bottom w:val="single" w:color="C8D8E8" w:sz="1"/>
              <w:right w:val="single" w:color="C8D8E8" w:sz="1"/>
            </w:tcBorders>
            <w:shd w:fill="FFFFFF" w:val="clear"/>
            <w:tcMar>
              <w:top w:type="dxa" w:w="80"/>
              <w:left w:type="dxa" w:w="80"/>
              <w:bottom w:type="dxa" w:w="80"/>
              <w:right w:type="dxa" w:w="80"/>
            </w:tcMar>
          </w:tcPr>
          <w:p>
            <w:pPr>
              <w:jc w:val="center"/>
            </w:pPr>
            <w:r>
              <w:rPr>
                <w:rFonts w:ascii="Arial" w:cs="Arial" w:eastAsia="Arial" w:hAnsi="Arial"/>
                <w:b/>
                <w:bCs/>
                <w:color w:val="C0392B"/>
                <w:sz w:val="18"/>
                <w:szCs w:val="18"/>
              </w:rPr>
              <w:t xml:space="preserve">CRÍTICO</w:t>
            </w:r>
          </w:p>
        </w:tc>
        <w:tc>
          <w:tcPr>
            <w:tcW w:type="dxa" w:w="5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GPT-4o cobra por token de input e output. Com 192 queries documentais/dia, o custo anual pode ser significativo e precisa constar na aprovação de orçamento. Corrigido na Seção 2.5 (~R$ 700/mês).</w:t>
            </w:r>
          </w:p>
        </w:tc>
      </w:tr>
      <w:tr>
        <w:tc>
          <w:tcPr>
            <w:tcW w:type="dxa" w:w="220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120"/>
            </w:tcMar>
          </w:tcPr>
          <w:p>
            <w:r>
              <w:rPr>
                <w:rFonts w:ascii="Arial" w:cs="Arial" w:eastAsia="Arial" w:hAnsi="Arial"/>
                <w:b/>
                <w:bCs/>
                <w:color w:val="333333"/>
                <w:sz w:val="19"/>
                <w:szCs w:val="19"/>
              </w:rPr>
              <w:t xml:space="preserve">openpyxl data_only=True falha em fórmulas voláteis</w:t>
            </w:r>
          </w:p>
        </w:tc>
        <w:tc>
          <w:tcPr>
            <w:tcW w:type="dxa" w:w="1200"/>
            <w:tcBorders>
              <w:top w:val="single" w:color="C8D8E8" w:sz="1"/>
              <w:left w:val="single" w:color="C8D8E8" w:sz="1"/>
              <w:bottom w:val="single" w:color="C8D8E8" w:sz="1"/>
              <w:right w:val="single" w:color="C8D8E8" w:sz="1"/>
            </w:tcBorders>
            <w:shd w:fill="F5F7FA" w:val="clear"/>
            <w:tcMar>
              <w:top w:type="dxa" w:w="80"/>
              <w:left w:type="dxa" w:w="80"/>
              <w:bottom w:type="dxa" w:w="80"/>
              <w:right w:type="dxa" w:w="80"/>
            </w:tcMar>
          </w:tcPr>
          <w:p>
            <w:pPr>
              <w:jc w:val="center"/>
            </w:pPr>
            <w:r>
              <w:rPr>
                <w:rFonts w:ascii="Arial" w:cs="Arial" w:eastAsia="Arial" w:hAnsi="Arial"/>
                <w:b/>
                <w:bCs/>
                <w:color w:val="E8A020"/>
                <w:sz w:val="18"/>
                <w:szCs w:val="18"/>
              </w:rPr>
              <w:t xml:space="preserve">ALTO</w:t>
            </w:r>
          </w:p>
        </w:tc>
        <w:tc>
          <w:tcPr>
            <w:tcW w:type="dxa" w:w="596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Fórmulas voláteis (=HOJE(), =AGORA()) ou com referências externas retornam None com data_only=True. É necessário LibreOffice Headless para forçar recálculo. Corrigido na Seção 1.3.</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Modelo de embedding não especificado</w:t>
            </w:r>
          </w:p>
        </w:tc>
        <w:tc>
          <w:tcPr>
            <w:tcW w:type="dxa" w:w="1200"/>
            <w:tcBorders>
              <w:top w:val="single" w:color="C8D8E8" w:sz="1"/>
              <w:left w:val="single" w:color="C8D8E8" w:sz="1"/>
              <w:bottom w:val="single" w:color="C8D8E8" w:sz="1"/>
              <w:right w:val="single" w:color="C8D8E8" w:sz="1"/>
            </w:tcBorders>
            <w:shd w:fill="FFFFFF" w:val="clear"/>
            <w:tcMar>
              <w:top w:type="dxa" w:w="80"/>
              <w:left w:type="dxa" w:w="80"/>
              <w:bottom w:type="dxa" w:w="80"/>
              <w:right w:type="dxa" w:w="80"/>
            </w:tcMar>
          </w:tcPr>
          <w:p>
            <w:pPr>
              <w:jc w:val="center"/>
            </w:pPr>
            <w:r>
              <w:rPr>
                <w:rFonts w:ascii="Arial" w:cs="Arial" w:eastAsia="Arial" w:hAnsi="Arial"/>
                <w:b/>
                <w:bCs/>
                <w:color w:val="E8A020"/>
                <w:sz w:val="18"/>
                <w:szCs w:val="18"/>
              </w:rPr>
              <w:t xml:space="preserve">ALTO</w:t>
            </w:r>
          </w:p>
        </w:tc>
        <w:tc>
          <w:tcPr>
            <w:tcW w:type="dxa" w:w="5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Uma das decisões mais impactantes do RAG foi omitida. text-embedding-ada-002 vs text-embedding-3-large vs multilingual-e5-large têm performances radicalmente diferentes para PT-BR técnico. Corrigido na Seção 3.3.</w:t>
            </w:r>
          </w:p>
        </w:tc>
      </w:tr>
      <w:tr>
        <w:tc>
          <w:tcPr>
            <w:tcW w:type="dxa" w:w="220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120"/>
            </w:tcMar>
          </w:tcPr>
          <w:p>
            <w:r>
              <w:rPr>
                <w:rFonts w:ascii="Arial" w:cs="Arial" w:eastAsia="Arial" w:hAnsi="Arial"/>
                <w:b/>
                <w:bCs/>
                <w:color w:val="333333"/>
                <w:sz w:val="19"/>
                <w:szCs w:val="19"/>
              </w:rPr>
              <w:t xml:space="preserve">Vector store não definido</w:t>
            </w:r>
          </w:p>
        </w:tc>
        <w:tc>
          <w:tcPr>
            <w:tcW w:type="dxa" w:w="1200"/>
            <w:tcBorders>
              <w:top w:val="single" w:color="C8D8E8" w:sz="1"/>
              <w:left w:val="single" w:color="C8D8E8" w:sz="1"/>
              <w:bottom w:val="single" w:color="C8D8E8" w:sz="1"/>
              <w:right w:val="single" w:color="C8D8E8" w:sz="1"/>
            </w:tcBorders>
            <w:shd w:fill="F5F7FA" w:val="clear"/>
            <w:tcMar>
              <w:top w:type="dxa" w:w="80"/>
              <w:left w:type="dxa" w:w="80"/>
              <w:bottom w:type="dxa" w:w="80"/>
              <w:right w:type="dxa" w:w="80"/>
            </w:tcMar>
          </w:tcPr>
          <w:p>
            <w:pPr>
              <w:jc w:val="center"/>
            </w:pPr>
            <w:r>
              <w:rPr>
                <w:rFonts w:ascii="Arial" w:cs="Arial" w:eastAsia="Arial" w:hAnsi="Arial"/>
                <w:b/>
                <w:bCs/>
                <w:color w:val="E8A020"/>
                <w:sz w:val="18"/>
                <w:szCs w:val="18"/>
              </w:rPr>
              <w:t xml:space="preserve">ALTO</w:t>
            </w:r>
          </w:p>
        </w:tc>
        <w:tc>
          <w:tcPr>
            <w:tcW w:type="dxa" w:w="596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Nenhuma decisão sobre Azure AI Search vs Chroma vs Pinecone, com seus tradeoffs de custo, latência e integração com o ecossistema Microsoft da NovaTech. Corrigido na Seção 3.4.</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Jargão logístico e polissemia ignorados</w:t>
            </w:r>
          </w:p>
        </w:tc>
        <w:tc>
          <w:tcPr>
            <w:tcW w:type="dxa" w:w="1200"/>
            <w:tcBorders>
              <w:top w:val="single" w:color="C8D8E8" w:sz="1"/>
              <w:left w:val="single" w:color="C8D8E8" w:sz="1"/>
              <w:bottom w:val="single" w:color="C8D8E8" w:sz="1"/>
              <w:right w:val="single" w:color="C8D8E8" w:sz="1"/>
            </w:tcBorders>
            <w:shd w:fill="FFFFFF" w:val="clear"/>
            <w:tcMar>
              <w:top w:type="dxa" w:w="80"/>
              <w:left w:type="dxa" w:w="80"/>
              <w:bottom w:type="dxa" w:w="80"/>
              <w:right w:type="dxa" w:w="80"/>
            </w:tcMar>
          </w:tcPr>
          <w:p>
            <w:pPr>
              <w:jc w:val="center"/>
            </w:pPr>
            <w:r>
              <w:rPr>
                <w:rFonts w:ascii="Arial" w:cs="Arial" w:eastAsia="Arial" w:hAnsi="Arial"/>
                <w:b/>
                <w:bCs/>
                <w:color w:val="E8A020"/>
                <w:sz w:val="18"/>
                <w:szCs w:val="18"/>
              </w:rPr>
              <w:t xml:space="preserve">ALTO</w:t>
            </w:r>
          </w:p>
        </w:tc>
        <w:tc>
          <w:tcPr>
            <w:tcW w:type="dxa" w:w="5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Termos como 'romaneio', 'CTE', 'fracionado', 'lotação' têm significado técnico que embeddings genéricos podem não capturar bem. Corrigido com recomendação de golden dataset com jargão setorial na Seção 3.6.</w:t>
            </w:r>
          </w:p>
        </w:tc>
      </w:tr>
      <w:tr>
        <w:tc>
          <w:tcPr>
            <w:tcW w:type="dxa" w:w="220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120"/>
            </w:tcMar>
          </w:tcPr>
          <w:p>
            <w:r>
              <w:rPr>
                <w:rFonts w:ascii="Arial" w:cs="Arial" w:eastAsia="Arial" w:hAnsi="Arial"/>
                <w:b/>
                <w:bCs/>
                <w:color w:val="333333"/>
                <w:sz w:val="19"/>
                <w:szCs w:val="19"/>
              </w:rPr>
              <w:t xml:space="preserve">Chunks de planilha de 30–80 tokens são curtos demais</w:t>
            </w:r>
          </w:p>
        </w:tc>
        <w:tc>
          <w:tcPr>
            <w:tcW w:type="dxa" w:w="1200"/>
            <w:tcBorders>
              <w:top w:val="single" w:color="C8D8E8" w:sz="1"/>
              <w:left w:val="single" w:color="C8D8E8" w:sz="1"/>
              <w:bottom w:val="single" w:color="C8D8E8" w:sz="1"/>
              <w:right w:val="single" w:color="C8D8E8" w:sz="1"/>
            </w:tcBorders>
            <w:shd w:fill="F5F7FA" w:val="clear"/>
            <w:tcMar>
              <w:top w:type="dxa" w:w="80"/>
              <w:left w:type="dxa" w:w="80"/>
              <w:bottom w:type="dxa" w:w="80"/>
              <w:right w:type="dxa" w:w="80"/>
            </w:tcMar>
          </w:tcPr>
          <w:p>
            <w:pPr>
              <w:jc w:val="center"/>
            </w:pPr>
            <w:r>
              <w:rPr>
                <w:rFonts w:ascii="Arial" w:cs="Arial" w:eastAsia="Arial" w:hAnsi="Arial"/>
                <w:b/>
                <w:bCs/>
                <w:color w:val="E8A020"/>
                <w:sz w:val="18"/>
                <w:szCs w:val="18"/>
              </w:rPr>
              <w:t xml:space="preserve">ALTO</w:t>
            </w:r>
          </w:p>
        </w:tc>
        <w:tc>
          <w:tcPr>
            <w:tcW w:type="dxa" w:w="596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Chunks abaixo de ~100 tokens produzem embeddings de baixa qualidade. A v1.0 recomendou linha a linha (30–80 tokens). A estratégia correta é blocos de categoria (150–300 tokens). Corrigido nas Seções 1.3 e 3.3.</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Delete incremental omitido no pipeline de atualização</w:t>
            </w:r>
          </w:p>
        </w:tc>
        <w:tc>
          <w:tcPr>
            <w:tcW w:type="dxa" w:w="1200"/>
            <w:tcBorders>
              <w:top w:val="single" w:color="C8D8E8" w:sz="1"/>
              <w:left w:val="single" w:color="C8D8E8" w:sz="1"/>
              <w:bottom w:val="single" w:color="C8D8E8" w:sz="1"/>
              <w:right w:val="single" w:color="C8D8E8" w:sz="1"/>
            </w:tcBorders>
            <w:shd w:fill="FFFFFF" w:val="clear"/>
            <w:tcMar>
              <w:top w:type="dxa" w:w="80"/>
              <w:left w:type="dxa" w:w="80"/>
              <w:bottom w:type="dxa" w:w="80"/>
              <w:right w:type="dxa" w:w="80"/>
            </w:tcMar>
          </w:tcPr>
          <w:p>
            <w:pPr>
              <w:jc w:val="center"/>
            </w:pPr>
            <w:r>
              <w:rPr>
                <w:rFonts w:ascii="Arial" w:cs="Arial" w:eastAsia="Arial" w:hAnsi="Arial"/>
                <w:b/>
                <w:bCs/>
                <w:color w:val="E8A020"/>
                <w:sz w:val="18"/>
                <w:szCs w:val="18"/>
              </w:rPr>
              <w:t xml:space="preserve">ALTO</w:t>
            </w:r>
          </w:p>
        </w:tc>
        <w:tc>
          <w:tcPr>
            <w:tcW w:type="dxa" w:w="5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Re-ingerir um documento sem deletar os chunks antigos faz versões antigas e novas coexistirem no índice — agravando o problema de conflito que o sistema deveria resolver. Corrigido na Seção 1.3.</w:t>
            </w:r>
          </w:p>
        </w:tc>
      </w:tr>
      <w:tr>
        <w:tc>
          <w:tcPr>
            <w:tcW w:type="dxa" w:w="220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120"/>
            </w:tcMar>
          </w:tcPr>
          <w:p>
            <w:r>
              <w:rPr>
                <w:rFonts w:ascii="Arial" w:cs="Arial" w:eastAsia="Arial" w:hAnsi="Arial"/>
                <w:b/>
                <w:bCs/>
                <w:color w:val="333333"/>
                <w:sz w:val="19"/>
                <w:szCs w:val="19"/>
              </w:rPr>
              <w:t xml:space="preserve">Tipos de pergunta não classificados — inversão de lógica de design</w:t>
            </w:r>
          </w:p>
        </w:tc>
        <w:tc>
          <w:tcPr>
            <w:tcW w:type="dxa" w:w="1200"/>
            <w:tcBorders>
              <w:top w:val="single" w:color="C8D8E8" w:sz="1"/>
              <w:left w:val="single" w:color="C8D8E8" w:sz="1"/>
              <w:bottom w:val="single" w:color="C8D8E8" w:sz="1"/>
              <w:right w:val="single" w:color="C8D8E8" w:sz="1"/>
            </w:tcBorders>
            <w:shd w:fill="F5F7FA" w:val="clear"/>
            <w:tcMar>
              <w:top w:type="dxa" w:w="80"/>
              <w:left w:type="dxa" w:w="80"/>
              <w:bottom w:type="dxa" w:w="80"/>
              <w:right w:type="dxa" w:w="80"/>
            </w:tcMar>
          </w:tcPr>
          <w:p>
            <w:pPr>
              <w:jc w:val="center"/>
            </w:pPr>
            <w:r>
              <w:rPr>
                <w:rFonts w:ascii="Arial" w:cs="Arial" w:eastAsia="Arial" w:hAnsi="Arial"/>
                <w:b/>
                <w:bCs/>
                <w:color w:val="E8A020"/>
                <w:sz w:val="18"/>
                <w:szCs w:val="18"/>
              </w:rPr>
              <w:t xml:space="preserve">ALTO</w:t>
            </w:r>
          </w:p>
        </w:tc>
        <w:tc>
          <w:tcPr>
            <w:tcW w:type="dxa" w:w="596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As v1.0 e v2.0 partiram do tipo de documento para chegar ao chunking. O correto é partir do tipo de query do usuário. Queries de lookup tabular, regra condicional, processo/fluxo e comparativa/versão têm perfis completamente distintos de retrieval. Corrigido integralmente na Seção 3.</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LGPD não mencionada</w:t>
            </w:r>
          </w:p>
        </w:tc>
        <w:tc>
          <w:tcPr>
            <w:tcW w:type="dxa" w:w="1200"/>
            <w:tcBorders>
              <w:top w:val="single" w:color="C8D8E8" w:sz="1"/>
              <w:left w:val="single" w:color="C8D8E8" w:sz="1"/>
              <w:bottom w:val="single" w:color="C8D8E8" w:sz="1"/>
              <w:right w:val="single" w:color="C8D8E8" w:sz="1"/>
            </w:tcBorders>
            <w:shd w:fill="FFFFFF" w:val="clear"/>
            <w:tcMar>
              <w:top w:type="dxa" w:w="80"/>
              <w:left w:type="dxa" w:w="80"/>
              <w:bottom w:type="dxa" w:w="80"/>
              <w:right w:type="dxa" w:w="80"/>
            </w:tcMar>
          </w:tcPr>
          <w:p>
            <w:pPr>
              <w:jc w:val="center"/>
            </w:pPr>
            <w:r>
              <w:rPr>
                <w:rFonts w:ascii="Arial" w:cs="Arial" w:eastAsia="Arial" w:hAnsi="Arial"/>
                <w:b/>
                <w:bCs/>
                <w:color w:val="27AE60"/>
                <w:sz w:val="18"/>
                <w:szCs w:val="18"/>
              </w:rPr>
              <w:t xml:space="preserve">MÉDIO</w:t>
            </w:r>
          </w:p>
        </w:tc>
        <w:tc>
          <w:tcPr>
            <w:tcW w:type="dxa" w:w="5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Documentos de compliance e atendimento podem conter dados pessoais de clientes. O pipeline de ingestão precisa de PII Detection antes de indexar. Corrigido nas Seções 1.1 e 1.2.</w:t>
            </w:r>
          </w:p>
        </w:tc>
      </w:tr>
      <w:tr>
        <w:tc>
          <w:tcPr>
            <w:tcW w:type="dxa" w:w="220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120"/>
            </w:tcMar>
          </w:tcPr>
          <w:p>
            <w:r>
              <w:rPr>
                <w:rFonts w:ascii="Arial" w:cs="Arial" w:eastAsia="Arial" w:hAnsi="Arial"/>
                <w:b/>
                <w:bCs/>
                <w:color w:val="333333"/>
                <w:sz w:val="19"/>
                <w:szCs w:val="19"/>
              </w:rPr>
              <w:t xml:space="preserve">Estimativa de densidade PDF otimista</w:t>
            </w:r>
          </w:p>
        </w:tc>
        <w:tc>
          <w:tcPr>
            <w:tcW w:type="dxa" w:w="1200"/>
            <w:tcBorders>
              <w:top w:val="single" w:color="C8D8E8" w:sz="1"/>
              <w:left w:val="single" w:color="C8D8E8" w:sz="1"/>
              <w:bottom w:val="single" w:color="C8D8E8" w:sz="1"/>
              <w:right w:val="single" w:color="C8D8E8" w:sz="1"/>
            </w:tcBorders>
            <w:shd w:fill="F5F7FA" w:val="clear"/>
            <w:tcMar>
              <w:top w:type="dxa" w:w="80"/>
              <w:left w:type="dxa" w:w="80"/>
              <w:bottom w:type="dxa" w:w="80"/>
              <w:right w:type="dxa" w:w="80"/>
            </w:tcMar>
          </w:tcPr>
          <w:p>
            <w:pPr>
              <w:jc w:val="center"/>
            </w:pPr>
            <w:r>
              <w:rPr>
                <w:rFonts w:ascii="Arial" w:cs="Arial" w:eastAsia="Arial" w:hAnsi="Arial"/>
                <w:b/>
                <w:bCs/>
                <w:color w:val="27AE60"/>
                <w:sz w:val="18"/>
                <w:szCs w:val="18"/>
              </w:rPr>
              <w:t xml:space="preserve">MÉDIO</w:t>
            </w:r>
          </w:p>
        </w:tc>
        <w:tc>
          <w:tcPr>
            <w:tcW w:type="dxa" w:w="596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350 palavras/página superestima PDFs com tabelas e fluxogramas. Estimativa revisada: 220 palavras/página como cenário base. Corrigido na Seção 2.0.</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6DA4" w:val="clear"/>
            <w:tcMar>
              <w:top w:type="dxa" w:w="120"/>
              <w:left w:type="dxa" w:w="100"/>
              <w:bottom w:type="dxa" w:w="120"/>
              <w:right w:type="dxa" w:w="80"/>
            </w:tcMar>
          </w:tcPr>
          <w:p>
            <w:pPr>
              <w:jc w:val="center"/>
            </w:pPr>
            <w:r>
              <w:rPr>
                <w:rFonts w:ascii="Arial" w:cs="Arial" w:eastAsia="Arial" w:hAnsi="Arial"/>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EBF3FA" w:val="clear"/>
            <w:tcMar>
              <w:top w:type="dxa" w:w="100"/>
              <w:left w:type="dxa" w:w="180"/>
              <w:bottom w:type="dxa" w:w="100"/>
              <w:right w:type="dxa" w:w="140"/>
            </w:tcMar>
          </w:tcPr>
          <w:p>
            <w:r>
              <w:rPr>
                <w:rFonts w:ascii="Arial" w:cs="Arial" w:eastAsia="Arial" w:hAnsi="Arial"/>
                <w:color w:val="333333"/>
                <w:sz w:val="19"/>
                <w:szCs w:val="19"/>
              </w:rPr>
              <w:t xml:space="preserve">Nenhuma dessas lacunas inviabiliza o projeto. Todas eram resolúveis. Esta seção existe para que a equipe de desenvolvimento entre no projeto com visão realista dos riscos — não para reprovar a análise anterior.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2E6DA4" w:val="clear"/>
            <w:tcMar>
              <w:top w:type="dxa" w:w="120"/>
              <w:left w:type="dxa" w:w="120"/>
              <w:bottom w:type="dxa" w:w="120"/>
              <w:right w:type="dxa" w:w="100"/>
            </w:tcMar>
          </w:tcPr>
          <w:p>
            <w:pPr>
              <w:jc w:val="center"/>
            </w:pPr>
            <w:r>
              <w:rPr>
                <w:rFonts w:ascii="Arial" w:cs="Arial" w:eastAsia="Arial" w:hAnsi="Arial"/>
                <w:b/>
                <w:bCs/>
                <w:color w:val="FFFFFF"/>
                <w:sz w:val="28"/>
                <w:szCs w:val="28"/>
              </w:rPr>
              <w:t xml:space="preserve">01</w:t>
            </w:r>
          </w:p>
        </w:tc>
        <w:tc>
          <w:tcPr>
            <w:tcW w:type="dxa" w:w="8580"/>
            <w:tcBorders>
              <w:top w:val="none" w:color="FFFFFF" w:sz="0"/>
              <w:left w:val="none" w:color="FFFFFF" w:sz="0"/>
              <w:bottom w:val="none" w:color="FFFFFF" w:sz="0"/>
              <w:right w:val="none" w:color="FFFFFF" w:sz="0"/>
            </w:tcBorders>
            <w:shd w:fill="EBF3FA" w:val="clear"/>
            <w:tcMar>
              <w:top w:type="dxa" w:w="120"/>
              <w:left w:type="dxa" w:w="240"/>
              <w:bottom w:type="dxa" w:w="120"/>
              <w:right w:type="dxa" w:w="140"/>
            </w:tcMar>
          </w:tcPr>
          <w:p>
            <w:r>
              <w:rPr>
                <w:rFonts w:ascii="Arial" w:cs="Arial" w:eastAsia="Arial" w:hAnsi="Arial"/>
                <w:b/>
                <w:bCs/>
                <w:color w:val="1E3A5F"/>
                <w:sz w:val="26"/>
                <w:szCs w:val="26"/>
              </w:rPr>
              <w:t xml:space="preserve">Estratégia de Extração de Fontes de Dados</w:t>
            </w:r>
          </w:p>
        </w:tc>
      </w:tr>
    </w:tbl>
    <w:p>
      <w:pPr>
        <w:spacing w:after="80" w:before="0"/>
      </w:pPr>
    </w:p>
    <w:p>
      <w:pPr>
        <w:spacing w:after="100" w:before="60"/>
      </w:pPr>
      <w:r>
        <w:rPr>
          <w:rFonts w:ascii="Arial" w:cs="Arial" w:eastAsia="Arial" w:hAnsi="Arial"/>
          <w:color w:val="333333"/>
          <w:sz w:val="20"/>
          <w:szCs w:val="20"/>
        </w:rPr>
        <w:t xml:space="preserve">A heterogeneidade das três fontes da NovaTech impõe desafios distintos a cada etapa do pipeline de ingestão. A baixa qualidade de extração nessa fase inicial se propaga para a qualidade dos chunks e, consequentemente, para a relevância das respostas geradas pelo LLM.</w:t>
      </w:r>
    </w:p>
    <w:p>
      <w:pPr>
        <w:spacing w:after="80" w:before="0"/>
      </w:pPr>
    </w:p>
    <w:p>
      <w:pPr>
        <w:pStyle w:val="Heading2"/>
        <w:spacing w:after="100" w:before="280"/>
      </w:pPr>
      <w:r>
        <w:rPr>
          <w:rFonts w:ascii="Arial" w:cs="Arial" w:eastAsia="Arial" w:hAnsi="Arial"/>
          <w:b/>
          <w:bCs/>
          <w:color w:val="2E6DA4"/>
          <w:sz w:val="24"/>
          <w:szCs w:val="24"/>
        </w:rPr>
        <w:t xml:space="preserve">1.1  PDFs do SharePoint (~800 documentos)</w:t>
      </w:r>
    </w:p>
    <w:p>
      <w:pPr>
        <w:pStyle w:val="Heading3"/>
        <w:spacing w:after="80" w:before="200"/>
      </w:pPr>
      <w:r>
        <w:rPr>
          <w:rFonts w:ascii="Arial" w:cs="Arial" w:eastAsia="Arial" w:hAnsi="Arial"/>
          <w:b/>
          <w:bCs/>
          <w:color w:val="1E3A5F"/>
          <w:sz w:val="22"/>
          <w:szCs w:val="22"/>
        </w:rPr>
        <w:t xml:space="preserve">Desafios Identificados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Categoria</w:t>
            </w:r>
          </w:p>
        </w:tc>
        <w:tc>
          <w:tcPr>
            <w:tcW w:type="dxa" w:w="28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Manifestação</w:t>
            </w:r>
          </w:p>
        </w:tc>
        <w:tc>
          <w:tcPr>
            <w:tcW w:type="dxa" w:w="41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Impacto no RAG</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Tabelas complexas (+15 colunas)</w:t>
            </w:r>
          </w:p>
        </w:tc>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Tabelas de SLA, tarifas de frete, faixas de peso/volume</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Extração linear destrói a semântica relacional; o modelo recebe colunas sem cabeçalho contextual</w:t>
            </w:r>
          </w:p>
        </w:tc>
      </w:tr>
      <w:tr>
        <w:tc>
          <w:tcPr>
            <w:tcW w:type="dxa" w:w="24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Fluxogramas / imagens</w:t>
            </w:r>
          </w:p>
        </w:tc>
        <w:tc>
          <w:tcPr>
            <w:tcW w:type="dxa" w:w="28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Diagramas de processo e fluxos de aprovação</w:t>
            </w:r>
          </w:p>
        </w:tc>
        <w:tc>
          <w:tcPr>
            <w:tcW w:type="dxa" w:w="41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PyMuPDF e pdfplumber ignoram conteúdo visual; informação de processo se perde na ingestão</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PDFs escaneados</w:t>
            </w:r>
          </w:p>
        </w:tc>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Documentos digitalizados sem camada de texto</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Sem OCR, a indexação retorna vazia ou com ruído; qualidade do OCR em documentos antigos pode ser baixa</w:t>
            </w:r>
          </w:p>
        </w:tc>
      </w:tr>
      <w:tr>
        <w:tc>
          <w:tcPr>
            <w:tcW w:type="dxa" w:w="24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Densidade textual real</w:t>
            </w:r>
          </w:p>
        </w:tc>
        <w:tc>
          <w:tcPr>
            <w:tcW w:type="dxa" w:w="28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Docs com tabelas, imagens e margens corporativas</w:t>
            </w:r>
          </w:p>
        </w:tc>
        <w:tc>
          <w:tcPr>
            <w:tcW w:type="dxa" w:w="41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Densidade extraível estimada em 180–250 palavras/página — não 350. Ver Seção 2.</w:t>
            </w:r>
          </w:p>
        </w:tc>
      </w:tr>
    </w:tbl>
    <w:p>
      <w:pPr>
        <w:spacing w:after="100" w:before="0"/>
      </w:pPr>
    </w:p>
    <w:p>
      <w:pPr>
        <w:pStyle w:val="Heading3"/>
        <w:spacing w:after="80" w:before="200"/>
      </w:pPr>
      <w:r>
        <w:rPr>
          <w:rFonts w:ascii="Arial" w:cs="Arial" w:eastAsia="Arial" w:hAnsi="Arial"/>
          <w:b/>
          <w:bCs/>
          <w:color w:val="1E3A5F"/>
          <w:sz w:val="22"/>
          <w:szCs w:val="22"/>
        </w:rPr>
        <w:t xml:space="preserve">Estratégia de Tratamento</w:t>
      </w:r>
    </w:p>
    <w:p>
      <w:pPr>
        <w:pStyle w:val="ListParagraph"/>
        <w:numPr>
          <w:ilvl w:val="0"/>
          <w:numId w:val="2"/>
        </w:numPr>
        <w:spacing w:after="60" w:before="40"/>
      </w:pPr>
      <w:r>
        <w:rPr>
          <w:rFonts w:ascii="Arial" w:cs="Arial" w:eastAsia="Arial" w:hAnsi="Arial"/>
          <w:color w:val="333333"/>
          <w:sz w:val="20"/>
          <w:szCs w:val="20"/>
        </w:rPr>
        <w:t xml:space="preserve">Classificação automática de tipo: calcular densidade de texto extraível por página. Abaixo de 80 palavras/página → pipeline OCR. Entre 80–200 → híbrido. Acima de 200 → nativo-digital.</w:t>
      </w:r>
    </w:p>
    <w:p>
      <w:pPr>
        <w:pStyle w:val="ListParagraph"/>
        <w:numPr>
          <w:ilvl w:val="0"/>
          <w:numId w:val="2"/>
        </w:numPr>
        <w:spacing w:after="60" w:before="40"/>
      </w:pPr>
      <w:r>
        <w:rPr>
          <w:rFonts w:ascii="Arial" w:cs="Arial" w:eastAsia="Arial" w:hAnsi="Arial"/>
          <w:color w:val="333333"/>
          <w:sz w:val="20"/>
          <w:szCs w:val="20"/>
        </w:rPr>
        <w:t xml:space="preserve">PDFs nativos com tabelas complexas: extrair via Azure AI Document Intelligence (modo 'prebuilt-layout'), que retorna tabelas em JSON estruturado com coordenadas por célula. Após extração, serializar cada linha como sentença completa preservando relações cabeçalho→célula.</w:t>
      </w:r>
    </w:p>
    <w:p>
      <w:pPr>
        <w:pStyle w:val="ListParagraph"/>
        <w:numPr>
          <w:ilvl w:val="0"/>
          <w:numId w:val="2"/>
        </w:numPr>
        <w:spacing w:after="60" w:before="40"/>
      </w:pPr>
      <w:r>
        <w:rPr>
          <w:rFonts w:ascii="Arial" w:cs="Arial" w:eastAsia="Arial" w:hAnsi="Arial"/>
          <w:color w:val="333333"/>
          <w:sz w:val="20"/>
          <w:szCs w:val="20"/>
        </w:rPr>
        <w:t xml:space="preserve">PDFs escaneados: Azure AI Document Intelligence com OCR. Documentos com resolução abaixo de 150 DPI devem ser re-escaneados antes da ingestão. Validar manualmente documentos de compliance e SLA após OCR.</w:t>
      </w:r>
    </w:p>
    <w:p>
      <w:pPr>
        <w:pStyle w:val="ListParagraph"/>
        <w:numPr>
          <w:ilvl w:val="0"/>
          <w:numId w:val="2"/>
        </w:numPr>
        <w:spacing w:after="60" w:before="40"/>
      </w:pPr>
      <w:r>
        <w:rPr>
          <w:rFonts w:ascii="Arial" w:cs="Arial" w:eastAsia="Arial" w:hAnsi="Arial"/>
          <w:color w:val="333333"/>
          <w:sz w:val="20"/>
          <w:szCs w:val="20"/>
        </w:rPr>
        <w:t xml:space="preserve">Fluxogramas: GPT-4o Vision para captioning em batch fora do pipeline crítico. Na resposta ao atendente, incluir link direto ao documento original quando a pergunta envolver processo.</w:t>
      </w:r>
    </w:p>
    <w:p>
      <w:pPr>
        <w:pStyle w:val="ListParagraph"/>
        <w:numPr>
          <w:ilvl w:val="0"/>
          <w:numId w:val="2"/>
        </w:numPr>
        <w:spacing w:after="60" w:before="40"/>
      </w:pPr>
      <w:r>
        <w:rPr>
          <w:rFonts w:ascii="Arial" w:cs="Arial" w:eastAsia="Arial" w:hAnsi="Arial"/>
          <w:color w:val="333333"/>
          <w:sz w:val="20"/>
          <w:szCs w:val="20"/>
        </w:rPr>
        <w:t xml:space="preserve">Metadados obrigatórios por chunk: documento_id (SHA-256), nome_arquivo, pagina, data_modificacao_sharepoint, area_responsavel, versao_documento, authoritative_flag (boolean), data_ingestao. O documento_id é crítico para o delete-by-document-id na atualização incremental.</w:t>
      </w:r>
    </w:p>
    <w:p>
      <w:pPr>
        <w:pStyle w:val="ListParagraph"/>
        <w:numPr>
          <w:ilvl w:val="0"/>
          <w:numId w:val="2"/>
        </w:numPr>
        <w:spacing w:after="60" w:before="40"/>
      </w:pPr>
      <w:r>
        <w:rPr>
          <w:rFonts w:ascii="Arial" w:cs="Arial" w:eastAsia="Arial" w:hAnsi="Arial"/>
          <w:color w:val="333333"/>
          <w:sz w:val="20"/>
          <w:szCs w:val="20"/>
        </w:rPr>
        <w:t xml:space="preserve">[LGPD] PII Detection obrigatória: antes de indexar qualquer PDF, executar Azure AI Language (PII Detection) para identificar e anonimizar dados pessoais de clientes. Chunks com PII residual devem ser marcados com acesso restrito.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8A020" w:val="clear"/>
            <w:tcMar>
              <w:top w:type="dxa" w:w="120"/>
              <w:left w:type="dxa" w:w="100"/>
              <w:bottom w:type="dxa" w:w="120"/>
              <w:right w:type="dxa" w:w="80"/>
            </w:tcMar>
          </w:tcPr>
          <w:p>
            <w:pPr>
              <w:jc w:val="center"/>
            </w:pPr>
            <w:r>
              <w:rPr>
                <w:rFonts w:ascii="Arial" w:cs="Arial" w:eastAsia="Arial" w:hAnsi="Arial"/>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FEF6E4" w:val="clear"/>
            <w:tcMar>
              <w:top w:type="dxa" w:w="100"/>
              <w:left w:type="dxa" w:w="180"/>
              <w:bottom w:type="dxa" w:w="100"/>
              <w:right w:type="dxa" w:w="140"/>
            </w:tcMar>
          </w:tcPr>
          <w:p>
            <w:r>
              <w:rPr>
                <w:rFonts w:ascii="Arial" w:cs="Arial" w:eastAsia="Arial" w:hAnsi="Arial"/>
                <w:color w:val="333333"/>
                <w:sz w:val="19"/>
                <w:szCs w:val="19"/>
              </w:rPr>
              <w:t xml:space="preserve">Documentos contraditórios entre versões são o risco mais concreto desta fonte. Com 800 PDFs geridos por 3 áreas sem processo unificado, o índice vetorial conterá chunks conflitantes desde o primeiro dia. A lógica de detecção e sinalização de conflito é requisito de lançamento — não feature de fase 2.</w:t>
            </w:r>
          </w:p>
        </w:tc>
      </w:tr>
    </w:tbl>
    <w:p>
      <w:pPr>
        <w:spacing w:after="100" w:before="0"/>
      </w:pPr>
    </w:p>
    <w:p>
      <w:pPr>
        <w:pStyle w:val="Heading2"/>
        <w:spacing w:after="100" w:before="280"/>
      </w:pPr>
      <w:r>
        <w:rPr>
          <w:rFonts w:ascii="Arial" w:cs="Arial" w:eastAsia="Arial" w:hAnsi="Arial"/>
          <w:b/>
          <w:bCs/>
          <w:color w:val="2E6DA4"/>
          <w:sz w:val="24"/>
          <w:szCs w:val="24"/>
        </w:rPr>
        <w:t xml:space="preserve">1.2  Wiki Interna no Confluence (~400 páginas)</w:t>
      </w:r>
    </w:p>
    <w:p>
      <w:pPr>
        <w:pStyle w:val="Heading3"/>
        <w:spacing w:after="80" w:before="200"/>
      </w:pPr>
      <w:r>
        <w:rPr>
          <w:rFonts w:ascii="Arial" w:cs="Arial" w:eastAsia="Arial" w:hAnsi="Arial"/>
          <w:b/>
          <w:bCs/>
          <w:color w:val="1E3A5F"/>
          <w:sz w:val="22"/>
          <w:szCs w:val="22"/>
        </w:rPr>
        <w:t xml:space="preserve">Desafios Identificados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Categoria</w:t>
            </w:r>
          </w:p>
        </w:tc>
        <w:tc>
          <w:tcPr>
            <w:tcW w:type="dxa" w:w="28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Manifestação</w:t>
            </w:r>
          </w:p>
        </w:tc>
        <w:tc>
          <w:tcPr>
            <w:tcW w:type="dxa" w:w="41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Impacto no RAG</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Links internos entre páginas</w:t>
            </w:r>
          </w:p>
        </w:tc>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Referências cruzadas com âncoras, links para espaços filhos</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Chunks perdem continuidade de informação distribuída; respostas ficam incompletas sem resolução de grafo</w:t>
            </w:r>
          </w:p>
        </w:tc>
      </w:tr>
      <w:tr>
        <w:tc>
          <w:tcPr>
            <w:tcW w:type="dxa" w:w="24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Macros customizadas</w:t>
            </w:r>
          </w:p>
        </w:tc>
        <w:tc>
          <w:tcPr>
            <w:tcW w:type="dxa" w:w="28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Macros de status, expand/collapse, tabelas de decisão, painéis de alerta</w:t>
            </w:r>
          </w:p>
        </w:tc>
        <w:tc>
          <w:tcPr>
            <w:tcW w:type="dxa" w:w="41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Exportação para PDF/HTML ignora ou renderiza incorretamente macros; conteúdo fica truncado ou ruidoso</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Páginas obsoletas sem marcação</w:t>
            </w:r>
          </w:p>
        </w:tc>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Wiki sem processo de arquivamento formal</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Páginas antigas coexistem com versões atuais; o retriever não distingue sem metadado de vigência</w:t>
            </w:r>
          </w:p>
        </w:tc>
      </w:tr>
    </w:tbl>
    <w:p>
      <w:pPr>
        <w:spacing w:after="100" w:before="0"/>
      </w:pPr>
    </w:p>
    <w:p>
      <w:pPr>
        <w:pStyle w:val="Heading3"/>
        <w:spacing w:after="80" w:before="200"/>
      </w:pPr>
      <w:r>
        <w:rPr>
          <w:rFonts w:ascii="Arial" w:cs="Arial" w:eastAsia="Arial" w:hAnsi="Arial"/>
          <w:b/>
          <w:bCs/>
          <w:color w:val="1E3A5F"/>
          <w:sz w:val="22"/>
          <w:szCs w:val="22"/>
        </w:rPr>
        <w:t xml:space="preserve">Estratégia de Tratamento</w:t>
      </w:r>
    </w:p>
    <w:p>
      <w:pPr>
        <w:pStyle w:val="ListParagraph"/>
        <w:numPr>
          <w:ilvl w:val="0"/>
          <w:numId w:val="2"/>
        </w:numPr>
        <w:spacing w:after="60" w:before="40"/>
      </w:pPr>
      <w:r>
        <w:rPr>
          <w:rFonts w:ascii="Arial" w:cs="Arial" w:eastAsia="Arial" w:hAnsi="Arial"/>
          <w:color w:val="333333"/>
          <w:sz w:val="20"/>
          <w:szCs w:val="20"/>
        </w:rPr>
        <w:t xml:space="preserve">Extração via API REST Confluence v2: endpoint /wiki/api/v2/pages/{id}/body com format=storage (XML interno do Confluence). O storage format preserva semântica das macros programaticamente — mais confiável do que exportar para HTML ou PDF.</w:t>
      </w:r>
    </w:p>
    <w:p>
      <w:pPr>
        <w:pStyle w:val="ListParagraph"/>
        <w:numPr>
          <w:ilvl w:val="0"/>
          <w:numId w:val="2"/>
        </w:numPr>
        <w:spacing w:after="60" w:before="40"/>
      </w:pPr>
      <w:r>
        <w:rPr>
          <w:rFonts w:ascii="Arial" w:cs="Arial" w:eastAsia="Arial" w:hAnsi="Arial"/>
          <w:color w:val="333333"/>
          <w:sz w:val="20"/>
          <w:szCs w:val="20"/>
        </w:rPr>
        <w:t xml:space="preserve">Resolução de links internos: construir grafo de dependências entre páginas durante o crawl. Páginas com alto in-degree são candidatas a 'páginas âncora' e recebem boost no reranking.</w:t>
      </w:r>
    </w:p>
    <w:p>
      <w:pPr>
        <w:pStyle w:val="ListParagraph"/>
        <w:numPr>
          <w:ilvl w:val="0"/>
          <w:numId w:val="2"/>
        </w:numPr>
        <w:spacing w:after="60" w:before="40"/>
      </w:pPr>
      <w:r>
        <w:rPr>
          <w:rFonts w:ascii="Arial" w:cs="Arial" w:eastAsia="Arial" w:hAnsi="Arial"/>
          <w:color w:val="333333"/>
          <w:sz w:val="20"/>
          <w:szCs w:val="20"/>
        </w:rPr>
        <w:t xml:space="preserve">Tratamento de macros: mapear cada tipo para equivalente textual. Macros de status → '[STATUS: Em vigor]'; macros de aviso → '[AVISO IMPORTANTE]'; macros expand → conteúdo expandido inline; macros de roadmap/timeline → ignorar (não relevantes para atendimento).</w:t>
      </w:r>
    </w:p>
    <w:p>
      <w:pPr>
        <w:pStyle w:val="ListParagraph"/>
        <w:numPr>
          <w:ilvl w:val="0"/>
          <w:numId w:val="2"/>
        </w:numPr>
        <w:spacing w:after="60" w:before="40"/>
      </w:pPr>
      <w:r>
        <w:rPr>
          <w:rFonts w:ascii="Arial" w:cs="Arial" w:eastAsia="Arial" w:hAnsi="Arial"/>
          <w:color w:val="333333"/>
          <w:sz w:val="20"/>
          <w:szCs w:val="20"/>
        </w:rPr>
        <w:t xml:space="preserve">Identificação de páginas obsoletas: consultar campo lastModified via API. Páginas não modificadas há mais de 12 meses sem marcação de vigência recebem flag obsolescence_risk=true. O sistema informa o atendente quando a resposta vier de chunk com esse flag.</w:t>
      </w:r>
    </w:p>
    <w:p>
      <w:pPr>
        <w:spacing w:after="80" w:before="0"/>
      </w:pPr>
    </w:p>
    <w:p>
      <w:pPr>
        <w:pStyle w:val="Heading2"/>
        <w:spacing w:after="100" w:before="280"/>
      </w:pPr>
      <w:r>
        <w:rPr>
          <w:rFonts w:ascii="Arial" w:cs="Arial" w:eastAsia="Arial" w:hAnsi="Arial"/>
          <w:b/>
          <w:bCs/>
          <w:color w:val="2E6DA4"/>
          <w:sz w:val="24"/>
          <w:szCs w:val="24"/>
        </w:rPr>
        <w:t xml:space="preserve">1.3  Planilhas de Referência (atualização mensal)</w:t>
      </w:r>
    </w:p>
    <w:p>
      <w:pPr>
        <w:pStyle w:val="Heading3"/>
        <w:spacing w:after="80" w:before="200"/>
      </w:pPr>
      <w:r>
        <w:rPr>
          <w:rFonts w:ascii="Arial" w:cs="Arial" w:eastAsia="Arial" w:hAnsi="Arial"/>
          <w:b/>
          <w:bCs/>
          <w:color w:val="1E3A5F"/>
          <w:sz w:val="22"/>
          <w:szCs w:val="22"/>
        </w:rPr>
        <w:t xml:space="preserve">Desafios Identificados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Categoria</w:t>
            </w:r>
          </w:p>
        </w:tc>
        <w:tc>
          <w:tcPr>
            <w:tcW w:type="dxa" w:w="28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Manifestação</w:t>
            </w:r>
          </w:p>
        </w:tc>
        <w:tc>
          <w:tcPr>
            <w:tcW w:type="dxa" w:w="41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Impacto no RAG</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Fórmulas voláteis</w:t>
            </w:r>
          </w:p>
        </w:tc>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=HOJE(), =ALEATÓRIO(), fórmulas com referências externas</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openpyxl data_only=True retorna None para fórmulas voláteis — dado perdido na ingestão</w:t>
            </w:r>
          </w:p>
        </w:tc>
      </w:tr>
      <w:tr>
        <w:tc>
          <w:tcPr>
            <w:tcW w:type="dxa" w:w="24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Estrutura tabular densa</w:t>
            </w:r>
          </w:p>
        </w:tc>
        <w:tc>
          <w:tcPr>
            <w:tcW w:type="dxa" w:w="28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Múltiplas abas, cabeçalhos em múltiplas linhas, células mescladas</w:t>
            </w:r>
          </w:p>
        </w:tc>
        <w:tc>
          <w:tcPr>
            <w:tcW w:type="dxa" w:w="41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Extrações simples destroem hierarquia; metadado de categoria pai se perde</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Atualização mensal por 3 áreas</w:t>
            </w:r>
          </w:p>
        </w:tc>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Sem processo unificado de versionamento</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Versão desatualizada no índice se a re-ingestão não deletar chunks antigos explicitamente</w:t>
            </w:r>
          </w:p>
        </w:tc>
      </w:tr>
    </w:tbl>
    <w:p>
      <w:pPr>
        <w:spacing w:after="100" w:before="0"/>
      </w:pPr>
    </w:p>
    <w:p>
      <w:pPr>
        <w:pStyle w:val="Heading3"/>
        <w:spacing w:after="80" w:before="200"/>
      </w:pPr>
      <w:r>
        <w:rPr>
          <w:rFonts w:ascii="Arial" w:cs="Arial" w:eastAsia="Arial" w:hAnsi="Arial"/>
          <w:b/>
          <w:bCs/>
          <w:color w:val="1E3A5F"/>
          <w:sz w:val="22"/>
          <w:szCs w:val="22"/>
        </w:rPr>
        <w:t xml:space="preserve">Estratégia de Tratamento</w:t>
      </w:r>
    </w:p>
    <w:p>
      <w:pPr>
        <w:pStyle w:val="ListParagraph"/>
        <w:numPr>
          <w:ilvl w:val="0"/>
          <w:numId w:val="2"/>
        </w:numPr>
        <w:spacing w:after="60" w:before="40"/>
      </w:pPr>
      <w:r>
        <w:rPr>
          <w:rFonts w:ascii="Arial" w:cs="Arial" w:eastAsia="Arial" w:hAnsi="Arial"/>
          <w:color w:val="333333"/>
          <w:sz w:val="20"/>
          <w:szCs w:val="20"/>
        </w:rPr>
        <w:t xml:space="preserve">Resolução de fórmulas: usar LibreOffice Headless para planilhas com fórmulas voláteis ou dependências externas (forçar recálculo completo antes de exportar). openpyxl data_only=True é suficiente apenas para planilhas estáticas sem dependências externas. O pipeline detecta automaticamente fórmulas voláteis e roteia para LibreOffice.</w:t>
      </w:r>
    </w:p>
    <w:p>
      <w:pPr>
        <w:pStyle w:val="ListParagraph"/>
        <w:numPr>
          <w:ilvl w:val="0"/>
          <w:numId w:val="2"/>
        </w:numPr>
        <w:spacing w:after="60" w:before="40"/>
      </w:pPr>
      <w:r>
        <w:rPr>
          <w:rFonts w:ascii="Arial" w:cs="Arial" w:eastAsia="Arial" w:hAnsi="Arial"/>
          <w:color w:val="333333"/>
          <w:sz w:val="20"/>
          <w:szCs w:val="20"/>
        </w:rPr>
        <w:t xml:space="preserve">Chunking por bloco de categoria (150–300 tokens): agrupar linhas relacionadas por dimensão (ex.: região × tipo de carga) — não linha a linha. Ver detalhamento na Seção 3.3.</w:t>
      </w:r>
    </w:p>
    <w:p>
      <w:pPr>
        <w:pStyle w:val="ListParagraph"/>
        <w:numPr>
          <w:ilvl w:val="0"/>
          <w:numId w:val="2"/>
        </w:numPr>
        <w:spacing w:after="60" w:before="40"/>
      </w:pPr>
      <w:r>
        <w:rPr>
          <w:rFonts w:ascii="Arial" w:cs="Arial" w:eastAsia="Arial" w:hAnsi="Arial"/>
          <w:color w:val="333333"/>
          <w:sz w:val="20"/>
          <w:szCs w:val="20"/>
        </w:rPr>
        <w:t xml:space="preserve">Serialização semântica em blocos: o cabeçalho de categoria aparece no início de cada chunk. Exemplo: 'Tabela de Frete — Região Nordeste, Carga Fracionada: [Peso 0–10kg: R$14,00 / 2 dias úteis] [Peso 10–30kg: R$19,50 / 3 dias úteis] [Peso 30–50kg: R$27,00 / 4 dias úteis] [&gt;50kg: R$34,00 / 5 dias úteis]'. Um atendente perguntando sobre qualquer faixa recupera o contexto completo da categoria.</w:t>
      </w:r>
    </w:p>
    <w:p>
      <w:pPr>
        <w:pStyle w:val="ListParagraph"/>
        <w:numPr>
          <w:ilvl w:val="0"/>
          <w:numId w:val="2"/>
        </w:numPr>
        <w:spacing w:after="60" w:before="40"/>
      </w:pPr>
      <w:r>
        <w:rPr>
          <w:rFonts w:ascii="Arial" w:cs="Arial" w:eastAsia="Arial" w:hAnsi="Arial"/>
          <w:color w:val="333333"/>
          <w:sz w:val="20"/>
          <w:szCs w:val="20"/>
        </w:rPr>
        <w:t xml:space="preserve">Pipeline de atualização incremental com delete explícito: ao detectar planilha modificada (Power Automate monitorando a pasta de rede), o pipeline deve: (1) buscar todos os chunks com documento_id correspondente, (2) deletar esses chunks, (3) re-processar e inserir os novos. Sem o passo de delete, versões antigas e novas coexistem no índice.</w:t>
      </w:r>
    </w:p>
    <w:p>
      <w:pPr>
        <w:pStyle w:val="ListParagraph"/>
        <w:numPr>
          <w:ilvl w:val="0"/>
          <w:numId w:val="2"/>
        </w:numPr>
        <w:spacing w:after="60" w:before="40"/>
      </w:pPr>
      <w:r>
        <w:rPr>
          <w:rFonts w:ascii="Arial" w:cs="Arial" w:eastAsia="Arial" w:hAnsi="Arial"/>
          <w:color w:val="333333"/>
          <w:sz w:val="20"/>
          <w:szCs w:val="20"/>
        </w:rPr>
        <w:t xml:space="preserve">Versionamento: arquivar snapshot da versão anterior (texto serializado + metadados) em Azure Blob Storage antes de deletar e re-indexar. Custo marginal mínimo; valor operacional alto para auditoria e disputas de regra. Versões arquivadas ficam disponíveis para queries de tipo T4 (comparativa).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6DA4" w:val="clear"/>
            <w:tcMar>
              <w:top w:type="dxa" w:w="120"/>
              <w:left w:type="dxa" w:w="100"/>
              <w:bottom w:type="dxa" w:w="120"/>
              <w:right w:type="dxa" w:w="80"/>
            </w:tcMar>
          </w:tcPr>
          <w:p>
            <w:pPr>
              <w:jc w:val="center"/>
            </w:pPr>
            <w:r>
              <w:rPr>
                <w:rFonts w:ascii="Arial" w:cs="Arial" w:eastAsia="Arial" w:hAnsi="Arial"/>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EBF3FA" w:val="clear"/>
            <w:tcMar>
              <w:top w:type="dxa" w:w="100"/>
              <w:left w:type="dxa" w:w="180"/>
              <w:bottom w:type="dxa" w:w="100"/>
              <w:right w:type="dxa" w:w="140"/>
            </w:tcMar>
          </w:tcPr>
          <w:p>
            <w:r>
              <w:rPr>
                <w:rFonts w:ascii="Arial" w:cs="Arial" w:eastAsia="Arial" w:hAnsi="Arial"/>
                <w:color w:val="333333"/>
                <w:sz w:val="19"/>
                <w:szCs w:val="19"/>
              </w:rPr>
              <w:t xml:space="preserve">Governança como pré-requisito de lançamento: o campo authoritative_version deve ser definido pelas três áreas antes do go-live, não depois. Um painel mínimo de marcação de documento vigente é requisito para que o sistema seja confiável desde o primeiro dia — não entrega de fase 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2E6DA4" w:val="clear"/>
            <w:tcMar>
              <w:top w:type="dxa" w:w="120"/>
              <w:left w:type="dxa" w:w="120"/>
              <w:bottom w:type="dxa" w:w="120"/>
              <w:right w:type="dxa" w:w="100"/>
            </w:tcMar>
          </w:tcPr>
          <w:p>
            <w:pPr>
              <w:jc w:val="center"/>
            </w:pPr>
            <w:r>
              <w:rPr>
                <w:rFonts w:ascii="Arial" w:cs="Arial" w:eastAsia="Arial" w:hAnsi="Arial"/>
                <w:b/>
                <w:bCs/>
                <w:color w:val="FFFFFF"/>
                <w:sz w:val="28"/>
                <w:szCs w:val="28"/>
              </w:rPr>
              <w:t xml:space="preserve">02</w:t>
            </w:r>
          </w:p>
        </w:tc>
        <w:tc>
          <w:tcPr>
            <w:tcW w:type="dxa" w:w="8580"/>
            <w:tcBorders>
              <w:top w:val="none" w:color="FFFFFF" w:sz="0"/>
              <w:left w:val="none" w:color="FFFFFF" w:sz="0"/>
              <w:bottom w:val="none" w:color="FFFFFF" w:sz="0"/>
              <w:right w:val="none" w:color="FFFFFF" w:sz="0"/>
            </w:tcBorders>
            <w:shd w:fill="EBF3FA" w:val="clear"/>
            <w:tcMar>
              <w:top w:type="dxa" w:w="120"/>
              <w:left w:type="dxa" w:w="240"/>
              <w:bottom w:type="dxa" w:w="120"/>
              <w:right w:type="dxa" w:w="140"/>
            </w:tcMar>
          </w:tcPr>
          <w:p>
            <w:r>
              <w:rPr>
                <w:rFonts w:ascii="Arial" w:cs="Arial" w:eastAsia="Arial" w:hAnsi="Arial"/>
                <w:b/>
                <w:bCs/>
                <w:color w:val="1E3A5F"/>
                <w:sz w:val="26"/>
                <w:szCs w:val="26"/>
              </w:rPr>
              <w:t xml:space="preserve">Estimativa Revisada do Volume de Tokens</w:t>
            </w:r>
          </w:p>
        </w:tc>
      </w:tr>
    </w:tbl>
    <w:p>
      <w:pPr>
        <w:spacing w:after="80" w:before="0"/>
      </w:pPr>
    </w:p>
    <w:p>
      <w:pPr>
        <w:pStyle w:val="Heading2"/>
        <w:spacing w:after="100" w:before="280"/>
      </w:pPr>
      <w:r>
        <w:rPr>
          <w:rFonts w:ascii="Arial" w:cs="Arial" w:eastAsia="Arial" w:hAnsi="Arial"/>
          <w:b/>
          <w:bCs/>
          <w:color w:val="2E6DA4"/>
          <w:sz w:val="24"/>
          <w:szCs w:val="24"/>
        </w:rPr>
        <w:t xml:space="preserve">2.0  Revisão da Premissa de Densidade Textual</w:t>
      </w:r>
    </w:p>
    <w:p>
      <w:pPr>
        <w:spacing w:after="100" w:before="60"/>
      </w:pPr>
      <w:r>
        <w:rPr>
          <w:rFonts w:ascii="Arial" w:cs="Arial" w:eastAsia="Arial" w:hAnsi="Arial"/>
          <w:color w:val="333333"/>
          <w:sz w:val="20"/>
          <w:szCs w:val="20"/>
        </w:rPr>
        <w:t xml:space="preserve">A v1.0 usou 350 palavras/página como estimativa 'conservadora'. PDFs de logística corporativa contêm tabelas de 10–20 colunas, fluxogramas, cabeçalhos/rodapés repetidos e espaços em branco — a densidade textual extraível real é 150–250 palavras/página. A estimativa revisada usa 220 palavras/página como cenário base, com faixa pessimista (150) e otimista (300) para planejamento de capacidade.</w:t>
      </w:r>
    </w:p>
    <w:p>
      <w:pPr>
        <w:spacing w:after="80" w:before="0"/>
      </w:pPr>
    </w:p>
    <w:p>
      <w:pPr>
        <w:pStyle w:val="Heading2"/>
        <w:spacing w:after="100" w:before="280"/>
      </w:pPr>
      <w:r>
        <w:rPr>
          <w:rFonts w:ascii="Arial" w:cs="Arial" w:eastAsia="Arial" w:hAnsi="Arial"/>
          <w:b/>
          <w:bCs/>
          <w:color w:val="2E6DA4"/>
          <w:sz w:val="24"/>
          <w:szCs w:val="24"/>
        </w:rPr>
        <w:t xml:space="preserve">2.1  PDFs do SharePoint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F0F4FA" w:val="clear"/>
            <w:tcMar>
              <w:top w:type="dxa" w:w="120"/>
              <w:left w:type="dxa" w:w="300"/>
              <w:bottom w:type="dxa" w:w="120"/>
              <w:right w:type="dxa" w:w="300"/>
            </w:tcMar>
          </w:tcPr>
          <w:p>
            <w:pPr>
              <w:spacing w:after="40" w:before="40"/>
            </w:pPr>
            <w:r>
              <w:rPr>
                <w:rFonts w:ascii="Courier New" w:cs="Courier New" w:eastAsia="Courier New" w:hAnsi="Courier New"/>
                <w:color w:val="1A3A5C"/>
                <w:sz w:val="20"/>
                <w:szCs w:val="20"/>
              </w:rPr>
              <w:t xml:space="preserve">Documentos:        800</w:t>
            </w:r>
          </w:p>
          <w:p>
            <w:pPr>
              <w:spacing w:after="40" w:before="40"/>
            </w:pPr>
            <w:r>
              <w:rPr>
                <w:rFonts w:ascii="Courier New" w:cs="Courier New" w:eastAsia="Courier New" w:hAnsi="Courier New"/>
                <w:color w:val="1A3A5C"/>
                <w:sz w:val="20"/>
                <w:szCs w:val="20"/>
              </w:rPr>
              <w:t xml:space="preserve">Páginas/documento: 10   →  Total: 8.000 páginas</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Cenário base:       8.000 × 220 palavras/pág ÷ 0,75  =  2.346.667 tokens  ≈  2,35 M</w:t>
            </w:r>
          </w:p>
          <w:p>
            <w:pPr>
              <w:spacing w:after="40" w:before="40"/>
            </w:pPr>
            <w:r>
              <w:rPr>
                <w:rFonts w:ascii="Courier New" w:cs="Courier New" w:eastAsia="Courier New" w:hAnsi="Courier New"/>
                <w:color w:val="1A3A5C"/>
                <w:sz w:val="20"/>
                <w:szCs w:val="20"/>
              </w:rPr>
              <w:t xml:space="preserve">Cenário pessimista: 8.000 × 150 palavras/pág ÷ 0,75  =  1.600.000 tokens  ≈  1,60 M</w:t>
            </w:r>
          </w:p>
          <w:p>
            <w:pPr>
              <w:spacing w:after="40" w:before="40"/>
            </w:pPr>
            <w:r>
              <w:rPr>
                <w:rFonts w:ascii="Courier New" w:cs="Courier New" w:eastAsia="Courier New" w:hAnsi="Courier New"/>
                <w:color w:val="1A3A5C"/>
                <w:sz w:val="20"/>
                <w:szCs w:val="20"/>
              </w:rPr>
              <w:t xml:space="preserve">Cenário otimista:   8.000 × 300 palavras/pág ÷ 0,75  =  3.200.000 tokens  ≈  3,20 M</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Adotado para planejamento: cenário base  →  ~2,35 M tokens</w:t>
            </w:r>
          </w:p>
        </w:tc>
      </w:tr>
    </w:tbl>
    <w:p>
      <w:pPr>
        <w:spacing w:after="80" w:before="0"/>
      </w:pPr>
    </w:p>
    <w:p>
      <w:pPr>
        <w:pStyle w:val="Heading2"/>
        <w:spacing w:after="100" w:before="280"/>
      </w:pPr>
      <w:r>
        <w:rPr>
          <w:rFonts w:ascii="Arial" w:cs="Arial" w:eastAsia="Arial" w:hAnsi="Arial"/>
          <w:b/>
          <w:bCs/>
          <w:color w:val="2E6DA4"/>
          <w:sz w:val="24"/>
          <w:szCs w:val="24"/>
        </w:rPr>
        <w:t xml:space="preserve">2.2  Wiki Confluence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F0F4FA" w:val="clear"/>
            <w:tcMar>
              <w:top w:type="dxa" w:w="120"/>
              <w:left w:type="dxa" w:w="300"/>
              <w:bottom w:type="dxa" w:w="120"/>
              <w:right w:type="dxa" w:w="300"/>
            </w:tcMar>
          </w:tcPr>
          <w:p>
            <w:pPr>
              <w:spacing w:after="40" w:before="40"/>
            </w:pPr>
            <w:r>
              <w:rPr>
                <w:rFonts w:ascii="Courier New" w:cs="Courier New" w:eastAsia="Courier New" w:hAnsi="Courier New"/>
                <w:color w:val="1A3A5C"/>
                <w:sz w:val="20"/>
                <w:szCs w:val="20"/>
              </w:rPr>
              <w:t xml:space="preserve">Páginas:            400</w:t>
            </w:r>
          </w:p>
          <w:p>
            <w:pPr>
              <w:spacing w:after="40" w:before="40"/>
            </w:pPr>
            <w:r>
              <w:rPr>
                <w:rFonts w:ascii="Courier New" w:cs="Courier New" w:eastAsia="Courier New" w:hAnsi="Courier New"/>
                <w:color w:val="1A3A5C"/>
                <w:sz w:val="20"/>
                <w:szCs w:val="20"/>
              </w:rPr>
              <w:t xml:space="preserve">Palavras/página:    1.500 (fornecido pelo cliente — mantido)</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400 × 1.500 ÷ 0,75  =  800.000 tokens  ≈  0,80 M</w:t>
            </w:r>
          </w:p>
        </w:tc>
      </w:tr>
    </w:tbl>
    <w:p>
      <w:pPr>
        <w:spacing w:after="80" w:before="0"/>
      </w:pPr>
    </w:p>
    <w:p>
      <w:pPr>
        <w:pStyle w:val="Heading2"/>
        <w:spacing w:after="100" w:before="280"/>
      </w:pPr>
      <w:r>
        <w:rPr>
          <w:rFonts w:ascii="Arial" w:cs="Arial" w:eastAsia="Arial" w:hAnsi="Arial"/>
          <w:b/>
          <w:bCs/>
          <w:color w:val="2E6DA4"/>
          <w:sz w:val="24"/>
          <w:szCs w:val="24"/>
        </w:rPr>
        <w:t xml:space="preserve">2.3  Planilhas — Estimativa Revisada</w:t>
      </w:r>
    </w:p>
    <w:p>
      <w:pPr>
        <w:spacing w:after="100" w:before="60"/>
      </w:pPr>
      <w:r>
        <w:rPr>
          <w:rFonts w:ascii="Arial" w:cs="Arial" w:eastAsia="Arial" w:hAnsi="Arial"/>
          <w:color w:val="333333"/>
          <w:sz w:val="20"/>
          <w:szCs w:val="20"/>
        </w:rPr>
        <w:t xml:space="preserve">Com a estratégia de chunking por blocos de categoria, o volume indexado difere do volume bruto. A estimativa abaixo reflete o volume após serialização semântica em blocos: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F0F4FA" w:val="clear"/>
            <w:tcMar>
              <w:top w:type="dxa" w:w="120"/>
              <w:left w:type="dxa" w:w="300"/>
              <w:bottom w:type="dxa" w:w="120"/>
              <w:right w:type="dxa" w:w="300"/>
            </w:tcMar>
          </w:tcPr>
          <w:p>
            <w:pPr>
              <w:spacing w:after="40" w:before="40"/>
            </w:pPr>
            <w:r>
              <w:rPr>
                <w:rFonts w:ascii="Courier New" w:cs="Courier New" w:eastAsia="Courier New" w:hAnsi="Courier New"/>
                <w:color w:val="1A3A5C"/>
                <w:sz w:val="20"/>
                <w:szCs w:val="20"/>
              </w:rPr>
              <w:t xml:space="preserve">Planilhas:           20 arquivos</w:t>
            </w:r>
          </w:p>
          <w:p>
            <w:pPr>
              <w:spacing w:after="40" w:before="40"/>
            </w:pPr>
            <w:r>
              <w:rPr>
                <w:rFonts w:ascii="Courier New" w:cs="Courier New" w:eastAsia="Courier New" w:hAnsi="Courier New"/>
                <w:color w:val="1A3A5C"/>
                <w:sz w:val="20"/>
                <w:szCs w:val="20"/>
              </w:rPr>
              <w:t xml:space="preserve">Abas/planilha:       5 abas  →  Total: 100 abas</w:t>
            </w:r>
          </w:p>
          <w:p>
            <w:pPr>
              <w:spacing w:after="40" w:before="40"/>
            </w:pPr>
            <w:r>
              <w:rPr>
                <w:rFonts w:ascii="Courier New" w:cs="Courier New" w:eastAsia="Courier New" w:hAnsi="Courier New"/>
                <w:color w:val="1A3A5C"/>
                <w:sz w:val="20"/>
                <w:szCs w:val="20"/>
              </w:rPr>
              <w:t xml:space="preserve">Linhas de dados/aba: 200 linhas  →  Total: 20.000 linhas</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Agrupamento: ~5 linhas relacionadas por bloco  →  4.000 blocos</w:t>
            </w:r>
          </w:p>
          <w:p>
            <w:pPr>
              <w:spacing w:after="40" w:before="40"/>
            </w:pPr>
            <w:r>
              <w:rPr>
                <w:rFonts w:ascii="Courier New" w:cs="Courier New" w:eastAsia="Courier New" w:hAnsi="Courier New"/>
                <w:color w:val="1A3A5C"/>
                <w:sz w:val="20"/>
                <w:szCs w:val="20"/>
              </w:rPr>
              <w:t xml:space="preserve">Palavras/bloco serializado: ~60 palavras</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4.000 × 60 ÷ 0,75  =  320.000 tokens  ≈  0,32 M</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Redução vs v1.0 (0,53 M): blocos eliminam duplicação de cabeçalho por linha</w:t>
            </w:r>
          </w:p>
          <w:p>
            <w:pPr>
              <w:spacing w:after="40" w:before="40"/>
            </w:pPr>
            <w:r>
              <w:rPr>
                <w:rFonts w:ascii="Courier New" w:cs="Courier New" w:eastAsia="Courier New" w:hAnsi="Courier New"/>
                <w:color w:val="1A3A5C"/>
                <w:sz w:val="20"/>
                <w:szCs w:val="20"/>
              </w:rPr>
              <w:t xml:space="preserve">e produzem chunks semanticamente mais ricos.</w:t>
            </w:r>
          </w:p>
        </w:tc>
      </w:tr>
    </w:tbl>
    <w:p>
      <w:pPr>
        <w:spacing w:after="80" w:before="0"/>
      </w:pPr>
    </w:p>
    <w:p>
      <w:pPr>
        <w:pStyle w:val="Heading2"/>
        <w:spacing w:after="100" w:before="280"/>
      </w:pPr>
      <w:r>
        <w:rPr>
          <w:rFonts w:ascii="Arial" w:cs="Arial" w:eastAsia="Arial" w:hAnsi="Arial"/>
          <w:b/>
          <w:bCs/>
          <w:color w:val="2E6DA4"/>
          <w:sz w:val="24"/>
          <w:szCs w:val="24"/>
        </w:rPr>
        <w:t xml:space="preserve">2.4  Consolidação Total</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1960"/>
        <w:gridCol w:w="1240"/>
        <w:gridCol w:w="2200"/>
      </w:tblGrid>
      <w:tr>
        <w:tc>
          <w:tcPr>
            <w:tcW w:type="dxa" w:w="22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Fonte</w:t>
            </w:r>
          </w:p>
        </w:tc>
        <w:tc>
          <w:tcPr>
            <w:tcW w:type="dxa" w:w="17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Tokens v1.0</w:t>
            </w:r>
          </w:p>
        </w:tc>
        <w:tc>
          <w:tcPr>
            <w:tcW w:type="dxa" w:w="19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Tokens v3.0 (base)</w:t>
            </w:r>
          </w:p>
        </w:tc>
        <w:tc>
          <w:tcPr>
            <w:tcW w:type="dxa" w:w="124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Variação</w:t>
            </w:r>
          </w:p>
        </w:tc>
        <w:tc>
          <w:tcPr>
            <w:tcW w:type="dxa" w:w="22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Cenário pessimista</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PDFs (SharePoint)</w:t>
            </w:r>
          </w:p>
        </w:tc>
        <w:tc>
          <w:tcPr>
            <w:tcW w:type="dxa" w:w="1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3.733.333</w:t>
            </w:r>
          </w:p>
        </w:tc>
        <w:tc>
          <w:tcPr>
            <w:tcW w:type="dxa" w:w="1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2.346.667</w:t>
            </w:r>
          </w:p>
        </w:tc>
        <w:tc>
          <w:tcPr>
            <w:tcW w:type="dxa" w:w="124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−37%</w:t>
            </w:r>
          </w:p>
        </w:tc>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1.600.000</w:t>
            </w:r>
          </w:p>
        </w:tc>
      </w:tr>
      <w:tr>
        <w:tc>
          <w:tcPr>
            <w:tcW w:type="dxa" w:w="22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Wiki (Confluence)</w:t>
            </w:r>
          </w:p>
        </w:tc>
        <w:tc>
          <w:tcPr>
            <w:tcW w:type="dxa" w:w="17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800.000</w:t>
            </w:r>
          </w:p>
        </w:tc>
        <w:tc>
          <w:tcPr>
            <w:tcW w:type="dxa" w:w="19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800.000</w:t>
            </w:r>
          </w:p>
        </w:tc>
        <w:tc>
          <w:tcPr>
            <w:tcW w:type="dxa" w:w="124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w:t>
            </w:r>
          </w:p>
        </w:tc>
        <w:tc>
          <w:tcPr>
            <w:tcW w:type="dxa" w:w="22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800.000</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Planilhas</w:t>
            </w:r>
          </w:p>
        </w:tc>
        <w:tc>
          <w:tcPr>
            <w:tcW w:type="dxa" w:w="1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533.333</w:t>
            </w:r>
          </w:p>
        </w:tc>
        <w:tc>
          <w:tcPr>
            <w:tcW w:type="dxa" w:w="1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320.000</w:t>
            </w:r>
          </w:p>
        </w:tc>
        <w:tc>
          <w:tcPr>
            <w:tcW w:type="dxa" w:w="124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−40%</w:t>
            </w:r>
          </w:p>
        </w:tc>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320.000</w:t>
            </w:r>
          </w:p>
        </w:tc>
      </w:tr>
      <w:tr>
        <w:tc>
          <w:tcPr>
            <w:tcW w:type="dxa" w:w="22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TOTAL</w:t>
            </w:r>
          </w:p>
        </w:tc>
        <w:tc>
          <w:tcPr>
            <w:tcW w:type="dxa" w:w="17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5.066.666</w:t>
            </w:r>
          </w:p>
        </w:tc>
        <w:tc>
          <w:tcPr>
            <w:tcW w:type="dxa" w:w="19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3.466.667</w:t>
            </w:r>
          </w:p>
        </w:tc>
        <w:tc>
          <w:tcPr>
            <w:tcW w:type="dxa" w:w="124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−32%</w:t>
            </w:r>
          </w:p>
        </w:tc>
        <w:tc>
          <w:tcPr>
            <w:tcW w:type="dxa" w:w="22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2.720.000</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Múltiplo da janela GPT-4o</w:t>
            </w:r>
          </w:p>
        </w:tc>
        <w:tc>
          <w:tcPr>
            <w:tcW w:type="dxa" w:w="1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39,6×</w:t>
            </w:r>
          </w:p>
        </w:tc>
        <w:tc>
          <w:tcPr>
            <w:tcW w:type="dxa" w:w="1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27,1×</w:t>
            </w:r>
          </w:p>
        </w:tc>
        <w:tc>
          <w:tcPr>
            <w:tcW w:type="dxa" w:w="124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w:t>
            </w:r>
          </w:p>
        </w:tc>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21,2×</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6DA4" w:val="clear"/>
            <w:tcMar>
              <w:top w:type="dxa" w:w="120"/>
              <w:left w:type="dxa" w:w="100"/>
              <w:bottom w:type="dxa" w:w="120"/>
              <w:right w:type="dxa" w:w="80"/>
            </w:tcMar>
          </w:tcPr>
          <w:p>
            <w:pPr>
              <w:jc w:val="center"/>
            </w:pPr>
            <w:r>
              <w:rPr>
                <w:rFonts w:ascii="Arial" w:cs="Arial" w:eastAsia="Arial" w:hAnsi="Arial"/>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D6E4F0" w:val="clear"/>
            <w:tcMar>
              <w:top w:type="dxa" w:w="100"/>
              <w:left w:type="dxa" w:w="180"/>
              <w:bottom w:type="dxa" w:w="100"/>
              <w:right w:type="dxa" w:w="140"/>
            </w:tcMar>
          </w:tcPr>
          <w:p>
            <w:r>
              <w:rPr>
                <w:rFonts w:ascii="Arial" w:cs="Arial" w:eastAsia="Arial" w:hAnsi="Arial"/>
                <w:color w:val="333333"/>
                <w:sz w:val="19"/>
                <w:szCs w:val="19"/>
              </w:rPr>
              <w:t xml:space="preserve">A base revisada em ~3,47 M tokens representa ~27× a janela do GPT-4o — confirmando que retrieval preciso é obrigatório. A diferença para a v1.0 é relevante para custos de embedding e storage, mas não altera a conclusão arquitetural.</w:t>
            </w:r>
          </w:p>
        </w:tc>
      </w:tr>
    </w:tbl>
    <w:p>
      <w:pPr>
        <w:spacing w:after="80" w:before="0"/>
      </w:pPr>
    </w:p>
    <w:p>
      <w:pPr>
        <w:pStyle w:val="Heading2"/>
        <w:spacing w:after="100" w:before="280"/>
      </w:pPr>
      <w:r>
        <w:rPr>
          <w:rFonts w:ascii="Arial" w:cs="Arial" w:eastAsia="Arial" w:hAnsi="Arial"/>
          <w:b/>
          <w:bCs/>
          <w:color w:val="2E6DA4"/>
          <w:sz w:val="24"/>
          <w:szCs w:val="24"/>
        </w:rPr>
        <w:t xml:space="preserve">2.5  Estimativa de Custo de Embedding e Operação</w:t>
      </w:r>
    </w:p>
    <w:p>
      <w:pPr>
        <w:pStyle w:val="Heading3"/>
        <w:spacing w:after="80" w:before="200"/>
      </w:pPr>
      <w:r>
        <w:rPr>
          <w:rFonts w:ascii="Arial" w:cs="Arial" w:eastAsia="Arial" w:hAnsi="Arial"/>
          <w:b/>
          <w:bCs/>
          <w:color w:val="1E3A5F"/>
          <w:sz w:val="22"/>
          <w:szCs w:val="22"/>
        </w:rPr>
        <w:t xml:space="preserve">Custo de Ingestão Inicial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F0F4FA" w:val="clear"/>
            <w:tcMar>
              <w:top w:type="dxa" w:w="120"/>
              <w:left w:type="dxa" w:w="300"/>
              <w:bottom w:type="dxa" w:w="120"/>
              <w:right w:type="dxa" w:w="300"/>
            </w:tcMar>
          </w:tcPr>
          <w:p>
            <w:pPr>
              <w:spacing w:after="40" w:before="40"/>
            </w:pPr>
            <w:r>
              <w:rPr>
                <w:rFonts w:ascii="Courier New" w:cs="Courier New" w:eastAsia="Courier New" w:hAnsi="Courier New"/>
                <w:color w:val="1A3A5C"/>
                <w:sz w:val="20"/>
                <w:szCs w:val="20"/>
              </w:rPr>
              <w:t xml:space="preserve">Base indexada:       ~3,47 M tokens</w:t>
            </w:r>
          </w:p>
          <w:p>
            <w:pPr>
              <w:spacing w:after="40" w:before="40"/>
            </w:pPr>
            <w:r>
              <w:rPr>
                <w:rFonts w:ascii="Courier New" w:cs="Courier New" w:eastAsia="Courier New" w:hAnsi="Courier New"/>
                <w:color w:val="1A3A5C"/>
                <w:sz w:val="20"/>
                <w:szCs w:val="20"/>
              </w:rPr>
              <w:t xml:space="preserve">Modelo de embedding: text-embedding-3-large (OpenAI via Azure)</w:t>
            </w:r>
          </w:p>
          <w:p>
            <w:pPr>
              <w:spacing w:after="40" w:before="40"/>
            </w:pPr>
            <w:r>
              <w:rPr>
                <w:rFonts w:ascii="Courier New" w:cs="Courier New" w:eastAsia="Courier New" w:hAnsi="Courier New"/>
                <w:color w:val="1A3A5C"/>
                <w:sz w:val="20"/>
                <w:szCs w:val="20"/>
              </w:rPr>
              <w:t xml:space="preserve">Preço:               ~US$ 0,13 / 1M tokens (referência mai/2025)</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Custo de embedding inicial:  3.470.000 × 0,13 / 1.000.000  ≈  US$ 0,45  (~R$ 2,50)</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Re-ingestão mensal (planilhas + ~5% dos PDFs):  ~175.000 tokens → US$ 0,02/mês</w:t>
            </w:r>
          </w:p>
          <w:p>
            <w:pPr>
              <w:spacing w:after="40" w:before="40"/>
            </w:pPr>
            <w:r>
              <w:rPr>
                <w:rFonts w:ascii="Courier New" w:cs="Courier New" w:eastAsia="Courier New" w:hAnsi="Courier New"/>
                <w:color w:val="1A3A5C"/>
                <w:sz w:val="20"/>
                <w:szCs w:val="20"/>
              </w:rPr>
              <w:t xml:space="preserve">→ Custo de embedding é desprezível.</w:t>
            </w:r>
          </w:p>
        </w:tc>
      </w:tr>
    </w:tbl>
    <w:p>
      <w:pPr>
        <w:spacing w:after="80" w:before="0"/>
      </w:pPr>
    </w:p>
    <w:p>
      <w:pPr>
        <w:pStyle w:val="Heading3"/>
        <w:spacing w:after="80" w:before="200"/>
      </w:pPr>
      <w:r>
        <w:rPr>
          <w:rFonts w:ascii="Arial" w:cs="Arial" w:eastAsia="Arial" w:hAnsi="Arial"/>
          <w:b/>
          <w:bCs/>
          <w:color w:val="1E3A5F"/>
          <w:sz w:val="22"/>
          <w:szCs w:val="22"/>
        </w:rPr>
        <w:t xml:space="preserve">Custo de Operação — Inferência GPT-4o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F0F4FA" w:val="clear"/>
            <w:tcMar>
              <w:top w:type="dxa" w:w="120"/>
              <w:left w:type="dxa" w:w="300"/>
              <w:bottom w:type="dxa" w:w="120"/>
              <w:right w:type="dxa" w:w="300"/>
            </w:tcMar>
          </w:tcPr>
          <w:p>
            <w:pPr>
              <w:spacing w:after="40" w:before="40"/>
            </w:pPr>
            <w:r>
              <w:rPr>
                <w:rFonts w:ascii="Courier New" w:cs="Courier New" w:eastAsia="Courier New" w:hAnsi="Courier New"/>
                <w:color w:val="1A3A5C"/>
                <w:sz w:val="20"/>
                <w:szCs w:val="20"/>
              </w:rPr>
              <w:t xml:space="preserve">Queries documentais/dia:     192  (60% de 320 chamados)</w:t>
            </w:r>
          </w:p>
          <w:p>
            <w:pPr>
              <w:spacing w:after="40" w:before="40"/>
            </w:pPr>
            <w:r>
              <w:rPr>
                <w:rFonts w:ascii="Courier New" w:cs="Courier New" w:eastAsia="Courier New" w:hAnsi="Courier New"/>
                <w:color w:val="1A3A5C"/>
                <w:sz w:val="20"/>
                <w:szCs w:val="20"/>
              </w:rPr>
              <w:t xml:space="preserve">Tokens de input por query:   ~5.000 (chunks) + 2.500 (system+histórico) = ~7.500</w:t>
            </w:r>
          </w:p>
          <w:p>
            <w:pPr>
              <w:spacing w:after="40" w:before="40"/>
            </w:pPr>
            <w:r>
              <w:rPr>
                <w:rFonts w:ascii="Courier New" w:cs="Courier New" w:eastAsia="Courier New" w:hAnsi="Courier New"/>
                <w:color w:val="1A3A5C"/>
                <w:sz w:val="20"/>
                <w:szCs w:val="20"/>
              </w:rPr>
              <w:t xml:space="preserve">Tokens de output por query:  ~500 (resposta do atendente)</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Preço GPT-4o input:   US$ 2,50 / 1M tokens</w:t>
            </w:r>
          </w:p>
          <w:p>
            <w:pPr>
              <w:spacing w:after="40" w:before="40"/>
            </w:pPr>
            <w:r>
              <w:rPr>
                <w:rFonts w:ascii="Courier New" w:cs="Courier New" w:eastAsia="Courier New" w:hAnsi="Courier New"/>
                <w:color w:val="1A3A5C"/>
                <w:sz w:val="20"/>
                <w:szCs w:val="20"/>
              </w:rPr>
              <w:t xml:space="preserve">Preço GPT-4o output:  US$ 10,00 / 1M tokens</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Custo/query:   (7.500 × 2,50 + 500 × 10,00) / 1.000.000  =  US$ 0,0238</w:t>
            </w:r>
          </w:p>
          <w:p>
            <w:pPr>
              <w:spacing w:after="40" w:before="40"/>
            </w:pPr>
            <w:r>
              <w:rPr>
                <w:rFonts w:ascii="Courier New" w:cs="Courier New" w:eastAsia="Courier New" w:hAnsi="Courier New"/>
                <w:color w:val="1A3A5C"/>
                <w:sz w:val="20"/>
                <w:szCs w:val="20"/>
              </w:rPr>
              <w:t xml:space="preserve">Custo/dia:     192 × 0,0238  =  US$ 4,57</w:t>
            </w:r>
          </w:p>
          <w:p>
            <w:pPr>
              <w:spacing w:after="40" w:before="40"/>
            </w:pPr>
            <w:r>
              <w:rPr>
                <w:rFonts w:ascii="Courier New" w:cs="Courier New" w:eastAsia="Courier New" w:hAnsi="Courier New"/>
                <w:color w:val="1A3A5C"/>
                <w:sz w:val="20"/>
                <w:szCs w:val="20"/>
              </w:rPr>
              <w:t xml:space="preserve">Custo/mês:     ~US$ 137  (≈ R$ 685/mês à taxa de mai/2025)</w:t>
            </w:r>
          </w:p>
          <w:p>
            <w:pPr>
              <w:spacing w:after="40" w:before="40"/>
            </w:pPr>
            <w:r>
              <w:rPr>
                <w:rFonts w:ascii="Courier New" w:cs="Courier New" w:eastAsia="Courier New" w:hAnsi="Courier New"/>
                <w:color w:val="1A3A5C"/>
                <w:sz w:val="20"/>
                <w:szCs w:val="20"/>
              </w:rPr>
              <w:t xml:space="preserve">Custo/ano:     ~US$ 1.644  (≈ R$ 8.220/ano)</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 Custo de inferência operacional: ~R$ 700/mês — viável.</w:t>
            </w:r>
          </w:p>
          <w:p>
            <w:pPr>
              <w:spacing w:after="40" w:before="40"/>
            </w:pPr>
            <w:r>
              <w:rPr>
                <w:rFonts w:ascii="Courier New" w:cs="Courier New" w:eastAsia="Courier New" w:hAnsi="Courier New"/>
                <w:color w:val="1A3A5C"/>
                <w:sz w:val="20"/>
                <w:szCs w:val="20"/>
              </w:rPr>
              <w:t xml:space="preserve">   Este valor cresce proporcionalmente com o número de chunks injetados.</w:t>
            </w:r>
          </w:p>
          <w:p>
            <w:pPr>
              <w:spacing w:after="40" w:before="40"/>
            </w:pPr>
            <w:r>
              <w:rPr>
                <w:rFonts w:ascii="Courier New" w:cs="Courier New" w:eastAsia="Courier New" w:hAnsi="Courier New"/>
                <w:color w:val="1A3A5C"/>
                <w:sz w:val="20"/>
                <w:szCs w:val="20"/>
              </w:rPr>
              <w:t xml:space="preserve">   Manter 5–10 parent chunks por query é também decisão de controle de custo.</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7AE60" w:val="clear"/>
            <w:tcMar>
              <w:top w:type="dxa" w:w="120"/>
              <w:left w:type="dxa" w:w="100"/>
              <w:bottom w:type="dxa" w:w="120"/>
              <w:right w:type="dxa" w:w="80"/>
            </w:tcMar>
          </w:tcPr>
          <w:p>
            <w:pPr>
              <w:jc w:val="center"/>
            </w:pPr>
            <w:r>
              <w:rPr>
                <w:rFonts w:ascii="Arial" w:cs="Arial" w:eastAsia="Arial" w:hAnsi="Arial"/>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E8F8EE" w:val="clear"/>
            <w:tcMar>
              <w:top w:type="dxa" w:w="100"/>
              <w:left w:type="dxa" w:w="180"/>
              <w:bottom w:type="dxa" w:w="100"/>
              <w:right w:type="dxa" w:w="140"/>
            </w:tcMar>
          </w:tcPr>
          <w:p>
            <w:r>
              <w:rPr>
                <w:rFonts w:ascii="Arial" w:cs="Arial" w:eastAsia="Arial" w:hAnsi="Arial"/>
                <w:color w:val="333333"/>
                <w:sz w:val="19"/>
                <w:szCs w:val="19"/>
              </w:rPr>
              <w:t xml:space="preserve">O custo de desenvolvimento e manutenção do pipeline é o verdadeiro custo do projeto — não a inferência. Mas ~R$ 700/mês deve constar na apresentação à diretoria para evitar surpresas em produção.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2E6DA4" w:val="clear"/>
            <w:tcMar>
              <w:top w:type="dxa" w:w="120"/>
              <w:left w:type="dxa" w:w="120"/>
              <w:bottom w:type="dxa" w:w="120"/>
              <w:right w:type="dxa" w:w="100"/>
            </w:tcMar>
          </w:tcPr>
          <w:p>
            <w:pPr>
              <w:jc w:val="center"/>
            </w:pPr>
            <w:r>
              <w:rPr>
                <w:rFonts w:ascii="Arial" w:cs="Arial" w:eastAsia="Arial" w:hAnsi="Arial"/>
                <w:b/>
                <w:bCs/>
                <w:color w:val="FFFFFF"/>
                <w:sz w:val="28"/>
                <w:szCs w:val="28"/>
              </w:rPr>
              <w:t xml:space="preserve">03</w:t>
            </w:r>
          </w:p>
        </w:tc>
        <w:tc>
          <w:tcPr>
            <w:tcW w:type="dxa" w:w="8580"/>
            <w:tcBorders>
              <w:top w:val="none" w:color="FFFFFF" w:sz="0"/>
              <w:left w:val="none" w:color="FFFFFF" w:sz="0"/>
              <w:bottom w:val="none" w:color="FFFFFF" w:sz="0"/>
              <w:right w:val="none" w:color="FFFFFF" w:sz="0"/>
            </w:tcBorders>
            <w:shd w:fill="EBF3FA" w:val="clear"/>
            <w:tcMar>
              <w:top w:type="dxa" w:w="120"/>
              <w:left w:type="dxa" w:w="240"/>
              <w:bottom w:type="dxa" w:w="120"/>
              <w:right w:type="dxa" w:w="140"/>
            </w:tcMar>
          </w:tcPr>
          <w:p>
            <w:r>
              <w:rPr>
                <w:rFonts w:ascii="Arial" w:cs="Arial" w:eastAsia="Arial" w:hAnsi="Arial"/>
                <w:b/>
                <w:bCs/>
                <w:color w:val="1E3A5F"/>
                <w:sz w:val="26"/>
                <w:szCs w:val="26"/>
              </w:rPr>
              <w:t xml:space="preserve">Chunking e Retrieval Orientados por Tipo de Pergunta</w:t>
            </w:r>
          </w:p>
        </w:tc>
      </w:tr>
    </w:tbl>
    <w:p>
      <w:pPr>
        <w:spacing w:after="80" w:before="0"/>
      </w:pPr>
    </w:p>
    <w:p>
      <w:pPr>
        <w:spacing w:after="100" w:before="60"/>
      </w:pPr>
      <w:r>
        <w:rPr>
          <w:rFonts w:ascii="Arial" w:cs="Arial" w:eastAsia="Arial" w:hAnsi="Arial"/>
          <w:color w:val="333333"/>
          <w:sz w:val="20"/>
          <w:szCs w:val="20"/>
        </w:rPr>
        <w:t xml:space="preserve">As versões anteriores definiram a estratégia de chunking partindo do tipo de documento (PDF, wiki, planilha). Esse é o raciocínio invertido. A variável que determina como os documentos devem ser indexados é o tipo de pergunta que os atendentes fazem — não o formato em que a informação está armazenada. Esta seção parte da taxonomia de queries e deriva, a partir dela, todas as decisões de chunking, retrieval e avaliação.</w:t>
      </w:r>
    </w:p>
    <w:p>
      <w:pPr>
        <w:spacing w:after="80" w:before="0"/>
      </w:pPr>
    </w:p>
    <w:p>
      <w:pPr>
        <w:pStyle w:val="Heading2"/>
        <w:spacing w:after="100" w:before="280"/>
      </w:pPr>
      <w:r>
        <w:rPr>
          <w:rFonts w:ascii="Arial" w:cs="Arial" w:eastAsia="Arial" w:hAnsi="Arial"/>
          <w:b/>
          <w:bCs/>
          <w:color w:val="2E6DA4"/>
          <w:sz w:val="24"/>
          <w:szCs w:val="24"/>
        </w:rPr>
        <w:t xml:space="preserve">3.0  Taxonomia de Perguntas da NovaTech</w:t>
      </w:r>
    </w:p>
    <w:p>
      <w:pPr>
        <w:spacing w:after="100" w:before="60"/>
      </w:pPr>
      <w:r>
        <w:rPr>
          <w:rFonts w:ascii="Arial" w:cs="Arial" w:eastAsia="Arial" w:hAnsi="Arial"/>
          <w:color w:val="333333"/>
          <w:sz w:val="20"/>
          <w:szCs w:val="20"/>
        </w:rPr>
        <w:t xml:space="preserve">A análise dos tópicos de atendimento da NovaTech (prazos, frete, devoluções, procedimentos de reclamação) revela quatro tipos de pergunta com perfis radicalmente distintos de retrieval: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20"/>
              <w:left w:type="dxa" w:w="200"/>
              <w:bottom w:type="dxa" w:w="100"/>
              <w:right w:type="dxa" w:w="200"/>
            </w:tcMar>
          </w:tcPr>
          <w:p>
            <w:r>
              <w:rPr>
                <w:rFonts w:ascii="Arial" w:cs="Arial" w:eastAsia="Arial" w:hAnsi="Arial"/>
                <w:b/>
                <w:bCs/>
                <w:color w:val="FFFFFF"/>
                <w:sz w:val="22"/>
                <w:szCs w:val="22"/>
              </w:rPr>
              <w:t xml:space="preserve">T1  </w:t>
            </w:r>
            <w:r>
              <w:rPr>
                <w:rFonts w:ascii="Arial" w:cs="Arial" w:eastAsia="Arial" w:hAnsi="Arial"/>
                <w:b/>
                <w:bCs/>
                <w:color w:val="FFFFFF"/>
                <w:sz w:val="22"/>
                <w:szCs w:val="22"/>
              </w:rPr>
              <w:t xml:space="preserve">Lookup Tabular Puro</w:t>
            </w:r>
          </w:p>
        </w:tc>
      </w:tr>
      <w:tr>
        <w:tc>
          <w:tcPr>
            <w:tcW w:type="dxa" w:w="1600"/>
            <w:tcBorders>
              <w:top w:val="none" w:color="FFFFFF" w:sz="0"/>
              <w:left w:val="none" w:color="FFFFFF" w:sz="0"/>
              <w:bottom w:val="none" w:color="FFFFFF" w:sz="0"/>
              <w:right w:val="none" w:color="FFFFFF" w:sz="0"/>
            </w:tcBorders>
            <w:shd w:fill="0E6655" w:val="clear"/>
            <w:tcMar>
              <w:top w:type="dxa" w:w="80"/>
              <w:left w:type="dxa" w:w="200"/>
              <w:bottom w:type="dxa" w:w="80"/>
              <w:right w:type="dxa" w:w="120"/>
            </w:tcMar>
          </w:tcPr>
          <w:p>
            <w:r>
              <w:rPr>
                <w:rFonts w:ascii="Arial" w:cs="Arial" w:eastAsia="Arial" w:hAnsi="Arial"/>
                <w:b/>
                <w:bCs/>
                <w:color w:val="FFFFFF"/>
                <w:sz w:val="18"/>
                <w:szCs w:val="18"/>
              </w:rPr>
              <w:t xml:space="preserve">Exemplo</w:t>
            </w:r>
          </w:p>
        </w:tc>
        <w:tc>
          <w:tcPr>
            <w:tcW w:type="dxa" w:w="7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color w:val="333333"/>
                <w:sz w:val="19"/>
                <w:szCs w:val="19"/>
              </w:rPr>
              <w:t xml:space="preserve">"Qual o prazo para carga fracionada no Nordeste acima de 50 kg?"  |  "Qual o valor do frete para cliente Tipo A na faixa de 10–20 kg?"</w:t>
            </w:r>
          </w:p>
        </w:tc>
      </w:tr>
      <w:tr>
        <w:tc>
          <w:tcPr>
            <w:tcW w:type="dxa" w:w="1600"/>
            <w:tcBorders>
              <w:top w:val="none" w:color="FFFFFF" w:sz="0"/>
              <w:left w:val="none" w:color="FFFFFF" w:sz="0"/>
              <w:bottom w:val="none" w:color="FFFFFF" w:sz="0"/>
              <w:right w:val="none" w:color="FFFFFF" w:sz="0"/>
            </w:tcBorders>
            <w:shd w:fill="0E6655" w:val="clear"/>
            <w:tcMar>
              <w:top w:type="dxa" w:w="80"/>
              <w:left w:type="dxa" w:w="200"/>
              <w:bottom w:type="dxa" w:w="80"/>
              <w:right w:type="dxa" w:w="120"/>
            </w:tcMar>
          </w:tcPr>
          <w:p>
            <w:r>
              <w:rPr>
                <w:rFonts w:ascii="Arial" w:cs="Arial" w:eastAsia="Arial" w:hAnsi="Arial"/>
                <w:b/>
                <w:bCs/>
                <w:color w:val="FFFFFF"/>
                <w:sz w:val="18"/>
                <w:szCs w:val="18"/>
              </w:rPr>
              <w:t xml:space="preserve">Fonte</w:t>
            </w:r>
          </w:p>
        </w:tc>
        <w:tc>
          <w:tcPr>
            <w:tcW w:type="dxa" w:w="7760"/>
            <w:tcBorders>
              <w:top w:val="none" w:color="FFFFFF" w:sz="0"/>
              <w:left w:val="none" w:color="FFFFFF" w:sz="0"/>
              <w:bottom w:val="none" w:color="FFFFFF" w:sz="0"/>
              <w:right w:val="none" w:color="FFFFFF" w:sz="0"/>
            </w:tcBorders>
            <w:shd w:fill="F5F7FA" w:val="clear"/>
            <w:tcMar>
              <w:top w:type="dxa" w:w="80"/>
              <w:left w:type="dxa" w:w="160"/>
              <w:bottom w:type="dxa" w:w="80"/>
              <w:right w:type="dxa" w:w="120"/>
            </w:tcMar>
          </w:tcPr>
          <w:p>
            <w:r>
              <w:rPr>
                <w:rFonts w:ascii="Arial" w:cs="Arial" w:eastAsia="Arial" w:hAnsi="Arial"/>
                <w:color w:val="333333"/>
                <w:sz w:val="19"/>
                <w:szCs w:val="19"/>
              </w:rPr>
              <w:t xml:space="preserve">Planilhas de frete e SLA · Tabelas em PDFs de tarifas</w:t>
            </w:r>
          </w:p>
        </w:tc>
      </w:tr>
      <w:tr>
        <w:tc>
          <w:tcPr>
            <w:tcW w:type="dxa" w:w="1600"/>
            <w:tcBorders>
              <w:top w:val="none" w:color="FFFFFF" w:sz="0"/>
              <w:left w:val="none" w:color="FFFFFF" w:sz="0"/>
              <w:bottom w:val="none" w:color="FFFFFF" w:sz="0"/>
              <w:right w:val="none" w:color="FFFFFF" w:sz="0"/>
            </w:tcBorders>
            <w:shd w:fill="0E6655" w:val="clear"/>
            <w:tcMar>
              <w:top w:type="dxa" w:w="80"/>
              <w:left w:type="dxa" w:w="200"/>
              <w:bottom w:type="dxa" w:w="80"/>
              <w:right w:type="dxa" w:w="120"/>
            </w:tcMar>
          </w:tcPr>
          <w:p>
            <w:r>
              <w:rPr>
                <w:rFonts w:ascii="Arial" w:cs="Arial" w:eastAsia="Arial" w:hAnsi="Arial"/>
                <w:b/>
                <w:bCs/>
                <w:color w:val="FFFFFF"/>
                <w:sz w:val="18"/>
                <w:szCs w:val="18"/>
              </w:rPr>
              <w:t xml:space="preserve">Chunking</w:t>
            </w:r>
          </w:p>
        </w:tc>
        <w:tc>
          <w:tcPr>
            <w:tcW w:type="dxa" w:w="7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color w:val="333333"/>
                <w:sz w:val="19"/>
                <w:szCs w:val="19"/>
              </w:rPr>
              <w:t xml:space="preserve">Blocos de categoria: agrupar todas as linhas da mesma dimensão (região × tipo de carga) em um chunk de 150–300 tokens, com cabeçalho de categoria explícito no início. A resposta correta sempre estará no mesmo chunk que as demais faixas.</w:t>
            </w:r>
          </w:p>
        </w:tc>
      </w:tr>
      <w:tr>
        <w:tc>
          <w:tcPr>
            <w:tcW w:type="dxa" w:w="1600"/>
            <w:tcBorders>
              <w:top w:val="none" w:color="FFFFFF" w:sz="0"/>
              <w:left w:val="none" w:color="FFFFFF" w:sz="0"/>
              <w:bottom w:val="none" w:color="FFFFFF" w:sz="0"/>
              <w:right w:val="none" w:color="FFFFFF" w:sz="0"/>
            </w:tcBorders>
            <w:shd w:fill="0E6655" w:val="clear"/>
            <w:tcMar>
              <w:top w:type="dxa" w:w="80"/>
              <w:left w:type="dxa" w:w="200"/>
              <w:bottom w:type="dxa" w:w="80"/>
              <w:right w:type="dxa" w:w="120"/>
            </w:tcMar>
          </w:tcPr>
          <w:p>
            <w:r>
              <w:rPr>
                <w:rFonts w:ascii="Arial" w:cs="Arial" w:eastAsia="Arial" w:hAnsi="Arial"/>
                <w:b/>
                <w:bCs/>
                <w:color w:val="FFFFFF"/>
                <w:sz w:val="18"/>
                <w:szCs w:val="18"/>
              </w:rPr>
              <w:t xml:space="preserve">Retrieval</w:t>
            </w:r>
          </w:p>
        </w:tc>
        <w:tc>
          <w:tcPr>
            <w:tcW w:type="dxa" w:w="7760"/>
            <w:tcBorders>
              <w:top w:val="none" w:color="FFFFFF" w:sz="0"/>
              <w:left w:val="none" w:color="FFFFFF" w:sz="0"/>
              <w:bottom w:val="none" w:color="FFFFFF" w:sz="0"/>
              <w:right w:val="none" w:color="FFFFFF" w:sz="0"/>
            </w:tcBorders>
            <w:shd w:fill="F5F7FA" w:val="clear"/>
            <w:tcMar>
              <w:top w:type="dxa" w:w="80"/>
              <w:left w:type="dxa" w:w="160"/>
              <w:bottom w:type="dxa" w:w="80"/>
              <w:right w:type="dxa" w:w="120"/>
            </w:tcMar>
          </w:tcPr>
          <w:p>
            <w:r>
              <w:rPr>
                <w:rFonts w:ascii="Arial" w:cs="Arial" w:eastAsia="Arial" w:hAnsi="Arial"/>
                <w:color w:val="333333"/>
                <w:sz w:val="19"/>
                <w:szCs w:val="19"/>
              </w:rPr>
              <w:t xml:space="preserve">BM25 dominante (70% / vetorial 30%). Termos como 'Nordeste', 'fracionado', '50kg' são discriminativos e exatos — busca vetorial semântica adiciona pouco aqui. Filtros de metadado (região, tipo_carga) ativados antes da busca.</w:t>
            </w:r>
          </w:p>
        </w:tc>
      </w:tr>
      <w:tr>
        <w:tc>
          <w:tcPr>
            <w:tcW w:type="dxa" w:w="1600"/>
            <w:tcBorders>
              <w:top w:val="none" w:color="FFFFFF" w:sz="0"/>
              <w:left w:val="none" w:color="FFFFFF" w:sz="0"/>
              <w:bottom w:val="none" w:color="FFFFFF" w:sz="0"/>
              <w:right w:val="none" w:color="FFFFFF" w:sz="0"/>
            </w:tcBorders>
            <w:shd w:fill="0E6655" w:val="clear"/>
            <w:tcMar>
              <w:top w:type="dxa" w:w="80"/>
              <w:left w:type="dxa" w:w="200"/>
              <w:bottom w:type="dxa" w:w="80"/>
              <w:right w:type="dxa" w:w="120"/>
            </w:tcMar>
          </w:tcPr>
          <w:p>
            <w:r>
              <w:rPr>
                <w:rFonts w:ascii="Arial" w:cs="Arial" w:eastAsia="Arial" w:hAnsi="Arial"/>
                <w:b/>
                <w:bCs/>
                <w:color w:val="FFFFFF"/>
                <w:sz w:val="18"/>
                <w:szCs w:val="18"/>
              </w:rPr>
              <w:t xml:space="preserve">Risco</w:t>
            </w:r>
          </w:p>
        </w:tc>
        <w:tc>
          <w:tcPr>
            <w:tcW w:type="dxa" w:w="7760"/>
            <w:tcBorders>
              <w:top w:val="none" w:color="FFFFFF" w:sz="0"/>
              <w:left w:val="none" w:color="FFFFFF" w:sz="0"/>
              <w:bottom w:val="none" w:color="FFFFFF" w:sz="0"/>
              <w:right w:val="none" w:color="FFFFFF" w:sz="0"/>
            </w:tcBorders>
            <w:shd w:fill="FDECEA" w:val="clear"/>
            <w:tcMar>
              <w:top w:type="dxa" w:w="80"/>
              <w:left w:type="dxa" w:w="160"/>
              <w:bottom w:type="dxa" w:w="80"/>
              <w:right w:type="dxa" w:w="120"/>
            </w:tcMar>
          </w:tcPr>
          <w:p>
            <w:r>
              <w:rPr>
                <w:rFonts w:ascii="Arial" w:cs="Arial" w:eastAsia="Arial" w:hAnsi="Arial"/>
                <w:color w:val="333333"/>
                <w:sz w:val="19"/>
                <w:szCs w:val="19"/>
              </w:rPr>
              <w:t xml:space="preserve">FALSA PRECISÃO: o retriever retorna a faixa errada (ex.: '20–50kg' em vez de '&gt;50kg') com score alto. Mitigação: todas as faixas da categoria no mesmo chunk — o LLM identifica a faixa correta com o contexto completo disponível.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120"/>
              <w:left w:type="dxa" w:w="200"/>
              <w:bottom w:type="dxa" w:w="100"/>
              <w:right w:type="dxa" w:w="200"/>
            </w:tcMar>
          </w:tcPr>
          <w:p>
            <w:r>
              <w:rPr>
                <w:rFonts w:ascii="Arial" w:cs="Arial" w:eastAsia="Arial" w:hAnsi="Arial"/>
                <w:b/>
                <w:bCs/>
                <w:color w:val="FFFFFF"/>
                <w:sz w:val="22"/>
                <w:szCs w:val="22"/>
              </w:rPr>
              <w:t xml:space="preserve">T2  </w:t>
            </w:r>
            <w:r>
              <w:rPr>
                <w:rFonts w:ascii="Arial" w:cs="Arial" w:eastAsia="Arial" w:hAnsi="Arial"/>
                <w:b/>
                <w:bCs/>
                <w:color w:val="FFFFFF"/>
                <w:sz w:val="22"/>
                <w:szCs w:val="22"/>
              </w:rPr>
              <w:t xml:space="preserve">Regra de Negócio Condicional</w:t>
            </w:r>
          </w:p>
        </w:tc>
      </w:tr>
      <w:tr>
        <w:tc>
          <w:tcPr>
            <w:tcW w:type="dxa" w:w="1600"/>
            <w:tcBorders>
              <w:top w:val="none" w:color="FFFFFF" w:sz="0"/>
              <w:left w:val="none" w:color="FFFFFF" w:sz="0"/>
              <w:bottom w:val="none" w:color="FFFFFF" w:sz="0"/>
              <w:right w:val="none" w:color="FFFFFF" w:sz="0"/>
            </w:tcBorders>
            <w:shd w:fill="2E6DA4" w:val="clear"/>
            <w:tcMar>
              <w:top w:type="dxa" w:w="80"/>
              <w:left w:type="dxa" w:w="200"/>
              <w:bottom w:type="dxa" w:w="80"/>
              <w:right w:type="dxa" w:w="120"/>
            </w:tcMar>
          </w:tcPr>
          <w:p>
            <w:r>
              <w:rPr>
                <w:rFonts w:ascii="Arial" w:cs="Arial" w:eastAsia="Arial" w:hAnsi="Arial"/>
                <w:b/>
                <w:bCs/>
                <w:color w:val="FFFFFF"/>
                <w:sz w:val="18"/>
                <w:szCs w:val="18"/>
              </w:rPr>
              <w:t xml:space="preserve">Exemplo</w:t>
            </w:r>
          </w:p>
        </w:tc>
        <w:tc>
          <w:tcPr>
            <w:tcW w:type="dxa" w:w="7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color w:val="333333"/>
                <w:sz w:val="19"/>
                <w:szCs w:val="19"/>
              </w:rPr>
              <w:t xml:space="preserve">"Cliente Tipo B tem direito a reentrega gratuita se o atraso foi causado por nós?"  |  "Qual o prazo de contestação para avaria parcial em carga segurada?"</w:t>
            </w:r>
          </w:p>
        </w:tc>
      </w:tr>
      <w:tr>
        <w:tc>
          <w:tcPr>
            <w:tcW w:type="dxa" w:w="1600"/>
            <w:tcBorders>
              <w:top w:val="none" w:color="FFFFFF" w:sz="0"/>
              <w:left w:val="none" w:color="FFFFFF" w:sz="0"/>
              <w:bottom w:val="none" w:color="FFFFFF" w:sz="0"/>
              <w:right w:val="none" w:color="FFFFFF" w:sz="0"/>
            </w:tcBorders>
            <w:shd w:fill="2E6DA4" w:val="clear"/>
            <w:tcMar>
              <w:top w:type="dxa" w:w="80"/>
              <w:left w:type="dxa" w:w="200"/>
              <w:bottom w:type="dxa" w:w="80"/>
              <w:right w:type="dxa" w:w="120"/>
            </w:tcMar>
          </w:tcPr>
          <w:p>
            <w:r>
              <w:rPr>
                <w:rFonts w:ascii="Arial" w:cs="Arial" w:eastAsia="Arial" w:hAnsi="Arial"/>
                <w:b/>
                <w:bCs/>
                <w:color w:val="FFFFFF"/>
                <w:sz w:val="18"/>
                <w:szCs w:val="18"/>
              </w:rPr>
              <w:t xml:space="preserve">Fonte</w:t>
            </w:r>
          </w:p>
        </w:tc>
        <w:tc>
          <w:tcPr>
            <w:tcW w:type="dxa" w:w="7760"/>
            <w:tcBorders>
              <w:top w:val="none" w:color="FFFFFF" w:sz="0"/>
              <w:left w:val="none" w:color="FFFFFF" w:sz="0"/>
              <w:bottom w:val="none" w:color="FFFFFF" w:sz="0"/>
              <w:right w:val="none" w:color="FFFFFF" w:sz="0"/>
            </w:tcBorders>
            <w:shd w:fill="F5F7FA" w:val="clear"/>
            <w:tcMar>
              <w:top w:type="dxa" w:w="80"/>
              <w:left w:type="dxa" w:w="160"/>
              <w:bottom w:type="dxa" w:w="80"/>
              <w:right w:type="dxa" w:w="120"/>
            </w:tcMar>
          </w:tcPr>
          <w:p>
            <w:r>
              <w:rPr>
                <w:rFonts w:ascii="Arial" w:cs="Arial" w:eastAsia="Arial" w:hAnsi="Arial"/>
                <w:color w:val="333333"/>
                <w:sz w:val="19"/>
                <w:szCs w:val="19"/>
              </w:rPr>
              <w:t xml:space="preserve">PDFs de política (Compliance, Comercial) · Wiki de procedimentos</w:t>
            </w:r>
          </w:p>
        </w:tc>
      </w:tr>
      <w:tr>
        <w:tc>
          <w:tcPr>
            <w:tcW w:type="dxa" w:w="1600"/>
            <w:tcBorders>
              <w:top w:val="none" w:color="FFFFFF" w:sz="0"/>
              <w:left w:val="none" w:color="FFFFFF" w:sz="0"/>
              <w:bottom w:val="none" w:color="FFFFFF" w:sz="0"/>
              <w:right w:val="none" w:color="FFFFFF" w:sz="0"/>
            </w:tcBorders>
            <w:shd w:fill="2E6DA4" w:val="clear"/>
            <w:tcMar>
              <w:top w:type="dxa" w:w="80"/>
              <w:left w:type="dxa" w:w="200"/>
              <w:bottom w:type="dxa" w:w="80"/>
              <w:right w:type="dxa" w:w="120"/>
            </w:tcMar>
          </w:tcPr>
          <w:p>
            <w:r>
              <w:rPr>
                <w:rFonts w:ascii="Arial" w:cs="Arial" w:eastAsia="Arial" w:hAnsi="Arial"/>
                <w:b/>
                <w:bCs/>
                <w:color w:val="FFFFFF"/>
                <w:sz w:val="18"/>
                <w:szCs w:val="18"/>
              </w:rPr>
              <w:t xml:space="preserve">Chunking</w:t>
            </w:r>
          </w:p>
        </w:tc>
        <w:tc>
          <w:tcPr>
            <w:tcW w:type="dxa" w:w="7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color w:val="333333"/>
                <w:sz w:val="19"/>
                <w:szCs w:val="19"/>
              </w:rPr>
              <w:t xml:space="preserve">Parent-child hierárquico. Child (~100–150 tokens) captura a cláusula específica. Parent (~600 tokens) inclui o parágrafo completo com a condição, as exceções e o contexto da seção. A exceção ('salvo nos casos de...') quase sempre aparece no parágrafo seguinte ao enunciado — o parent deve incluir ao menos 2 parágrafos além do child identificado.</w:t>
            </w:r>
          </w:p>
        </w:tc>
      </w:tr>
      <w:tr>
        <w:tc>
          <w:tcPr>
            <w:tcW w:type="dxa" w:w="1600"/>
            <w:tcBorders>
              <w:top w:val="none" w:color="FFFFFF" w:sz="0"/>
              <w:left w:val="none" w:color="FFFFFF" w:sz="0"/>
              <w:bottom w:val="none" w:color="FFFFFF" w:sz="0"/>
              <w:right w:val="none" w:color="FFFFFF" w:sz="0"/>
            </w:tcBorders>
            <w:shd w:fill="2E6DA4" w:val="clear"/>
            <w:tcMar>
              <w:top w:type="dxa" w:w="80"/>
              <w:left w:type="dxa" w:w="200"/>
              <w:bottom w:type="dxa" w:w="80"/>
              <w:right w:type="dxa" w:w="120"/>
            </w:tcMar>
          </w:tcPr>
          <w:p>
            <w:r>
              <w:rPr>
                <w:rFonts w:ascii="Arial" w:cs="Arial" w:eastAsia="Arial" w:hAnsi="Arial"/>
                <w:b/>
                <w:bCs/>
                <w:color w:val="FFFFFF"/>
                <w:sz w:val="18"/>
                <w:szCs w:val="18"/>
              </w:rPr>
              <w:t xml:space="preserve">Retrieval</w:t>
            </w:r>
          </w:p>
        </w:tc>
        <w:tc>
          <w:tcPr>
            <w:tcW w:type="dxa" w:w="7760"/>
            <w:tcBorders>
              <w:top w:val="none" w:color="FFFFFF" w:sz="0"/>
              <w:left w:val="none" w:color="FFFFFF" w:sz="0"/>
              <w:bottom w:val="none" w:color="FFFFFF" w:sz="0"/>
              <w:right w:val="none" w:color="FFFFFF" w:sz="0"/>
            </w:tcBorders>
            <w:shd w:fill="F5F7FA" w:val="clear"/>
            <w:tcMar>
              <w:top w:type="dxa" w:w="80"/>
              <w:left w:type="dxa" w:w="160"/>
              <w:bottom w:type="dxa" w:w="80"/>
              <w:right w:type="dxa" w:w="120"/>
            </w:tcMar>
          </w:tcPr>
          <w:p>
            <w:r>
              <w:rPr>
                <w:rFonts w:ascii="Arial" w:cs="Arial" w:eastAsia="Arial" w:hAnsi="Arial"/>
                <w:color w:val="333333"/>
                <w:sz w:val="19"/>
                <w:szCs w:val="19"/>
              </w:rPr>
              <w:t xml:space="preserve">Vetorial dominante (70% / BM25 30%). 'Atraso causado pela transportadora' e 'falha operacional de origem interna' devem mapear para o mesmo chunk de política — semântica importa mais do que termos exatos.</w:t>
            </w:r>
          </w:p>
        </w:tc>
      </w:tr>
      <w:tr>
        <w:tc>
          <w:tcPr>
            <w:tcW w:type="dxa" w:w="1600"/>
            <w:tcBorders>
              <w:top w:val="none" w:color="FFFFFF" w:sz="0"/>
              <w:left w:val="none" w:color="FFFFFF" w:sz="0"/>
              <w:bottom w:val="none" w:color="FFFFFF" w:sz="0"/>
              <w:right w:val="none" w:color="FFFFFF" w:sz="0"/>
            </w:tcBorders>
            <w:shd w:fill="2E6DA4" w:val="clear"/>
            <w:tcMar>
              <w:top w:type="dxa" w:w="80"/>
              <w:left w:type="dxa" w:w="200"/>
              <w:bottom w:type="dxa" w:w="80"/>
              <w:right w:type="dxa" w:w="120"/>
            </w:tcMar>
          </w:tcPr>
          <w:p>
            <w:r>
              <w:rPr>
                <w:rFonts w:ascii="Arial" w:cs="Arial" w:eastAsia="Arial" w:hAnsi="Arial"/>
                <w:b/>
                <w:bCs/>
                <w:color w:val="FFFFFF"/>
                <w:sz w:val="18"/>
                <w:szCs w:val="18"/>
              </w:rPr>
              <w:t xml:space="preserve">Risco</w:t>
            </w:r>
          </w:p>
        </w:tc>
        <w:tc>
          <w:tcPr>
            <w:tcW w:type="dxa" w:w="7760"/>
            <w:tcBorders>
              <w:top w:val="none" w:color="FFFFFF" w:sz="0"/>
              <w:left w:val="none" w:color="FFFFFF" w:sz="0"/>
              <w:bottom w:val="none" w:color="FFFFFF" w:sz="0"/>
              <w:right w:val="none" w:color="FFFFFF" w:sz="0"/>
            </w:tcBorders>
            <w:shd w:fill="FDECEA" w:val="clear"/>
            <w:tcMar>
              <w:top w:type="dxa" w:w="80"/>
              <w:left w:type="dxa" w:w="160"/>
              <w:bottom w:type="dxa" w:w="80"/>
              <w:right w:type="dxa" w:w="120"/>
            </w:tcMar>
          </w:tcPr>
          <w:p>
            <w:r>
              <w:rPr>
                <w:rFonts w:ascii="Arial" w:cs="Arial" w:eastAsia="Arial" w:hAnsi="Arial"/>
                <w:color w:val="333333"/>
                <w:sz w:val="19"/>
                <w:szCs w:val="19"/>
              </w:rPr>
              <w:t xml:space="preserve">CHUNK TRUNCADO ANTES DA EXCEÇÃO: a regra geral é recuperada, mas a condição de exceção fica no chunk seguinte e não é injetada. Mitigação: parent chunk sempre inclui ao menos 2 parágrafos além do child — nunca truncar no meio de uma condição lógica.</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3483" w:val="clear"/>
            <w:tcMar>
              <w:top w:type="dxa" w:w="120"/>
              <w:left w:type="dxa" w:w="200"/>
              <w:bottom w:type="dxa" w:w="100"/>
              <w:right w:type="dxa" w:w="200"/>
            </w:tcMar>
          </w:tcPr>
          <w:p>
            <w:r>
              <w:rPr>
                <w:rFonts w:ascii="Arial" w:cs="Arial" w:eastAsia="Arial" w:hAnsi="Arial"/>
                <w:b/>
                <w:bCs/>
                <w:color w:val="FFFFFF"/>
                <w:sz w:val="22"/>
                <w:szCs w:val="22"/>
              </w:rPr>
              <w:t xml:space="preserve">T3  </w:t>
            </w:r>
            <w:r>
              <w:rPr>
                <w:rFonts w:ascii="Arial" w:cs="Arial" w:eastAsia="Arial" w:hAnsi="Arial"/>
                <w:b/>
                <w:bCs/>
                <w:color w:val="FFFFFF"/>
                <w:sz w:val="22"/>
                <w:szCs w:val="22"/>
              </w:rPr>
              <w:t xml:space="preserve">Processo / Fluxo Sequencial</w:t>
            </w:r>
          </w:p>
        </w:tc>
      </w:tr>
      <w:tr>
        <w:tc>
          <w:tcPr>
            <w:tcW w:type="dxa" w:w="1600"/>
            <w:tcBorders>
              <w:top w:val="none" w:color="FFFFFF" w:sz="0"/>
              <w:left w:val="none" w:color="FFFFFF" w:sz="0"/>
              <w:bottom w:val="none" w:color="FFFFFF" w:sz="0"/>
              <w:right w:val="none" w:color="FFFFFF" w:sz="0"/>
            </w:tcBorders>
            <w:shd w:fill="6C3483" w:val="clear"/>
            <w:tcMar>
              <w:top w:type="dxa" w:w="80"/>
              <w:left w:type="dxa" w:w="200"/>
              <w:bottom w:type="dxa" w:w="80"/>
              <w:right w:type="dxa" w:w="120"/>
            </w:tcMar>
          </w:tcPr>
          <w:p>
            <w:r>
              <w:rPr>
                <w:rFonts w:ascii="Arial" w:cs="Arial" w:eastAsia="Arial" w:hAnsi="Arial"/>
                <w:b/>
                <w:bCs/>
                <w:color w:val="FFFFFF"/>
                <w:sz w:val="18"/>
                <w:szCs w:val="18"/>
              </w:rPr>
              <w:t xml:space="preserve">Exemplo</w:t>
            </w:r>
          </w:p>
        </w:tc>
        <w:tc>
          <w:tcPr>
            <w:tcW w:type="dxa" w:w="7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color w:val="333333"/>
                <w:sz w:val="19"/>
                <w:szCs w:val="19"/>
              </w:rPr>
              <w:t xml:space="preserve">"Qual o procedimento completo para abrir uma reclamação de avaria?"  |  "Quais são as etapas para solicitação de reembolso por entrega errada?"</w:t>
            </w:r>
          </w:p>
        </w:tc>
      </w:tr>
      <w:tr>
        <w:tc>
          <w:tcPr>
            <w:tcW w:type="dxa" w:w="1600"/>
            <w:tcBorders>
              <w:top w:val="none" w:color="FFFFFF" w:sz="0"/>
              <w:left w:val="none" w:color="FFFFFF" w:sz="0"/>
              <w:bottom w:val="none" w:color="FFFFFF" w:sz="0"/>
              <w:right w:val="none" w:color="FFFFFF" w:sz="0"/>
            </w:tcBorders>
            <w:shd w:fill="6C3483" w:val="clear"/>
            <w:tcMar>
              <w:top w:type="dxa" w:w="80"/>
              <w:left w:type="dxa" w:w="200"/>
              <w:bottom w:type="dxa" w:w="80"/>
              <w:right w:type="dxa" w:w="120"/>
            </w:tcMar>
          </w:tcPr>
          <w:p>
            <w:r>
              <w:rPr>
                <w:rFonts w:ascii="Arial" w:cs="Arial" w:eastAsia="Arial" w:hAnsi="Arial"/>
                <w:b/>
                <w:bCs/>
                <w:color w:val="FFFFFF"/>
                <w:sz w:val="18"/>
                <w:szCs w:val="18"/>
              </w:rPr>
              <w:t xml:space="preserve">Fonte</w:t>
            </w:r>
          </w:p>
        </w:tc>
        <w:tc>
          <w:tcPr>
            <w:tcW w:type="dxa" w:w="7760"/>
            <w:tcBorders>
              <w:top w:val="none" w:color="FFFFFF" w:sz="0"/>
              <w:left w:val="none" w:color="FFFFFF" w:sz="0"/>
              <w:bottom w:val="none" w:color="FFFFFF" w:sz="0"/>
              <w:right w:val="none" w:color="FFFFFF" w:sz="0"/>
            </w:tcBorders>
            <w:shd w:fill="F5F7FA" w:val="clear"/>
            <w:tcMar>
              <w:top w:type="dxa" w:w="80"/>
              <w:left w:type="dxa" w:w="160"/>
              <w:bottom w:type="dxa" w:w="80"/>
              <w:right w:type="dxa" w:w="120"/>
            </w:tcMar>
          </w:tcPr>
          <w:p>
            <w:r>
              <w:rPr>
                <w:rFonts w:ascii="Arial" w:cs="Arial" w:eastAsia="Arial" w:hAnsi="Arial"/>
                <w:color w:val="333333"/>
                <w:sz w:val="19"/>
                <w:szCs w:val="19"/>
              </w:rPr>
              <w:t xml:space="preserve">Wiki Confluence (procedimentos) · Manuais de operação em PDF</w:t>
            </w:r>
          </w:p>
        </w:tc>
      </w:tr>
      <w:tr>
        <w:tc>
          <w:tcPr>
            <w:tcW w:type="dxa" w:w="1600"/>
            <w:tcBorders>
              <w:top w:val="none" w:color="FFFFFF" w:sz="0"/>
              <w:left w:val="none" w:color="FFFFFF" w:sz="0"/>
              <w:bottom w:val="none" w:color="FFFFFF" w:sz="0"/>
              <w:right w:val="none" w:color="FFFFFF" w:sz="0"/>
            </w:tcBorders>
            <w:shd w:fill="6C3483" w:val="clear"/>
            <w:tcMar>
              <w:top w:type="dxa" w:w="80"/>
              <w:left w:type="dxa" w:w="200"/>
              <w:bottom w:type="dxa" w:w="80"/>
              <w:right w:type="dxa" w:w="120"/>
            </w:tcMar>
          </w:tcPr>
          <w:p>
            <w:r>
              <w:rPr>
                <w:rFonts w:ascii="Arial" w:cs="Arial" w:eastAsia="Arial" w:hAnsi="Arial"/>
                <w:b/>
                <w:bCs/>
                <w:color w:val="FFFFFF"/>
                <w:sz w:val="18"/>
                <w:szCs w:val="18"/>
              </w:rPr>
              <w:t xml:space="preserve">Chunking</w:t>
            </w:r>
          </w:p>
        </w:tc>
        <w:tc>
          <w:tcPr>
            <w:tcW w:type="dxa" w:w="7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color w:val="333333"/>
                <w:sz w:val="19"/>
                <w:szCs w:val="19"/>
              </w:rPr>
              <w:t xml:space="preserve">Chunk por heading com encadeamento obrigatório. Cada etapa do processo gera um chunk com metadados step_index (posição no fluxo) e next_chunk_id (ID do chunk da etapa seguinte). O parent chunk é a página completa ou seção completa do manual — não uma janela de 600 tokens cortada arbitrariamente.</w:t>
            </w:r>
          </w:p>
        </w:tc>
      </w:tr>
      <w:tr>
        <w:tc>
          <w:tcPr>
            <w:tcW w:type="dxa" w:w="1600"/>
            <w:tcBorders>
              <w:top w:val="none" w:color="FFFFFF" w:sz="0"/>
              <w:left w:val="none" w:color="FFFFFF" w:sz="0"/>
              <w:bottom w:val="none" w:color="FFFFFF" w:sz="0"/>
              <w:right w:val="none" w:color="FFFFFF" w:sz="0"/>
            </w:tcBorders>
            <w:shd w:fill="6C3483" w:val="clear"/>
            <w:tcMar>
              <w:top w:type="dxa" w:w="80"/>
              <w:left w:type="dxa" w:w="200"/>
              <w:bottom w:type="dxa" w:w="80"/>
              <w:right w:type="dxa" w:w="120"/>
            </w:tcMar>
          </w:tcPr>
          <w:p>
            <w:r>
              <w:rPr>
                <w:rFonts w:ascii="Arial" w:cs="Arial" w:eastAsia="Arial" w:hAnsi="Arial"/>
                <w:b/>
                <w:bCs/>
                <w:color w:val="FFFFFF"/>
                <w:sz w:val="18"/>
                <w:szCs w:val="18"/>
              </w:rPr>
              <w:t xml:space="preserve">Retrieval</w:t>
            </w:r>
          </w:p>
        </w:tc>
        <w:tc>
          <w:tcPr>
            <w:tcW w:type="dxa" w:w="7760"/>
            <w:tcBorders>
              <w:top w:val="none" w:color="FFFFFF" w:sz="0"/>
              <w:left w:val="none" w:color="FFFFFF" w:sz="0"/>
              <w:bottom w:val="none" w:color="FFFFFF" w:sz="0"/>
              <w:right w:val="none" w:color="FFFFFF" w:sz="0"/>
            </w:tcBorders>
            <w:shd w:fill="F5F7FA" w:val="clear"/>
            <w:tcMar>
              <w:top w:type="dxa" w:w="80"/>
              <w:left w:type="dxa" w:w="160"/>
              <w:bottom w:type="dxa" w:w="80"/>
              <w:right w:type="dxa" w:w="120"/>
            </w:tcMar>
          </w:tcPr>
          <w:p>
            <w:r>
              <w:rPr>
                <w:rFonts w:ascii="Arial" w:cs="Arial" w:eastAsia="Arial" w:hAnsi="Arial"/>
                <w:color w:val="333333"/>
                <w:sz w:val="19"/>
                <w:szCs w:val="19"/>
              </w:rPr>
              <w:t xml:space="preserve">Vetorial + grafo de sequência. Após identificar o chunk inicial por similaridade, o retriever segue os links next_chunk_id para recuperar as etapas seguintes em ordem garantida. Sem essa lógica de grafo, a resposta pode conter etapas 1, 3 e 5 — omitindo intermediárias críticas. NÃO aplicar reranking para T3 — preservar ordem sequencial.</w:t>
            </w:r>
          </w:p>
        </w:tc>
      </w:tr>
      <w:tr>
        <w:tc>
          <w:tcPr>
            <w:tcW w:type="dxa" w:w="1600"/>
            <w:tcBorders>
              <w:top w:val="none" w:color="FFFFFF" w:sz="0"/>
              <w:left w:val="none" w:color="FFFFFF" w:sz="0"/>
              <w:bottom w:val="none" w:color="FFFFFF" w:sz="0"/>
              <w:right w:val="none" w:color="FFFFFF" w:sz="0"/>
            </w:tcBorders>
            <w:shd w:fill="6C3483" w:val="clear"/>
            <w:tcMar>
              <w:top w:type="dxa" w:w="80"/>
              <w:left w:type="dxa" w:w="200"/>
              <w:bottom w:type="dxa" w:w="80"/>
              <w:right w:type="dxa" w:w="120"/>
            </w:tcMar>
          </w:tcPr>
          <w:p>
            <w:r>
              <w:rPr>
                <w:rFonts w:ascii="Arial" w:cs="Arial" w:eastAsia="Arial" w:hAnsi="Arial"/>
                <w:b/>
                <w:bCs/>
                <w:color w:val="FFFFFF"/>
                <w:sz w:val="18"/>
                <w:szCs w:val="18"/>
              </w:rPr>
              <w:t xml:space="preserve">Risco</w:t>
            </w:r>
          </w:p>
        </w:tc>
        <w:tc>
          <w:tcPr>
            <w:tcW w:type="dxa" w:w="7760"/>
            <w:tcBorders>
              <w:top w:val="none" w:color="FFFFFF" w:sz="0"/>
              <w:left w:val="none" w:color="FFFFFF" w:sz="0"/>
              <w:bottom w:val="none" w:color="FFFFFF" w:sz="0"/>
              <w:right w:val="none" w:color="FFFFFF" w:sz="0"/>
            </w:tcBorders>
            <w:shd w:fill="FDECEA" w:val="clear"/>
            <w:tcMar>
              <w:top w:type="dxa" w:w="80"/>
              <w:left w:type="dxa" w:w="160"/>
              <w:bottom w:type="dxa" w:w="80"/>
              <w:right w:type="dxa" w:w="120"/>
            </w:tcMar>
          </w:tcPr>
          <w:p>
            <w:r>
              <w:rPr>
                <w:rFonts w:ascii="Arial" w:cs="Arial" w:eastAsia="Arial" w:hAnsi="Arial"/>
                <w:color w:val="333333"/>
                <w:sz w:val="19"/>
                <w:szCs w:val="19"/>
              </w:rPr>
              <w:t xml:space="preserve">LOST IN THE MIDDLE DESTRÓI A ORDEM: chunks de processo fora de sequência fazem o LLM reordenar ou omitir etapas. Mitigação: injetar chunks de T3 sempre como bloco contíguo ordenado no prompt — nunca intercalado com chunks de outras fontes.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A020" w:val="clear"/>
            <w:tcMar>
              <w:top w:type="dxa" w:w="120"/>
              <w:left w:type="dxa" w:w="200"/>
              <w:bottom w:type="dxa" w:w="100"/>
              <w:right w:type="dxa" w:w="200"/>
            </w:tcMar>
          </w:tcPr>
          <w:p>
            <w:r>
              <w:rPr>
                <w:rFonts w:ascii="Arial" w:cs="Arial" w:eastAsia="Arial" w:hAnsi="Arial"/>
                <w:b/>
                <w:bCs/>
                <w:color w:val="FFFFFF"/>
                <w:sz w:val="22"/>
                <w:szCs w:val="22"/>
              </w:rPr>
              <w:t xml:space="preserve">T4  </w:t>
            </w:r>
            <w:r>
              <w:rPr>
                <w:rFonts w:ascii="Arial" w:cs="Arial" w:eastAsia="Arial" w:hAnsi="Arial"/>
                <w:b/>
                <w:bCs/>
                <w:color w:val="FFFFFF"/>
                <w:sz w:val="22"/>
                <w:szCs w:val="22"/>
              </w:rPr>
              <w:t xml:space="preserve">Comparativa / Exceção / Versão</w:t>
            </w:r>
          </w:p>
        </w:tc>
      </w:tr>
      <w:tr>
        <w:tc>
          <w:tcPr>
            <w:tcW w:type="dxa" w:w="1600"/>
            <w:tcBorders>
              <w:top w:val="none" w:color="FFFFFF" w:sz="0"/>
              <w:left w:val="none" w:color="FFFFFF" w:sz="0"/>
              <w:bottom w:val="none" w:color="FFFFFF" w:sz="0"/>
              <w:right w:val="none" w:color="FFFFFF" w:sz="0"/>
            </w:tcBorders>
            <w:shd w:fill="E8A020" w:val="clear"/>
            <w:tcMar>
              <w:top w:type="dxa" w:w="80"/>
              <w:left w:type="dxa" w:w="200"/>
              <w:bottom w:type="dxa" w:w="80"/>
              <w:right w:type="dxa" w:w="120"/>
            </w:tcMar>
          </w:tcPr>
          <w:p>
            <w:r>
              <w:rPr>
                <w:rFonts w:ascii="Arial" w:cs="Arial" w:eastAsia="Arial" w:hAnsi="Arial"/>
                <w:b/>
                <w:bCs/>
                <w:color w:val="FFFFFF"/>
                <w:sz w:val="18"/>
                <w:szCs w:val="18"/>
              </w:rPr>
              <w:t xml:space="preserve">Exemplo</w:t>
            </w:r>
          </w:p>
        </w:tc>
        <w:tc>
          <w:tcPr>
            <w:tcW w:type="dxa" w:w="7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color w:val="333333"/>
                <w:sz w:val="19"/>
                <w:szCs w:val="19"/>
              </w:rPr>
              <w:t xml:space="preserve">"A política de devolução mudou para clientes do segmento Varejo após a última atualização?"  |  "O prazo de SLA para cliente Premium é diferente no Sudeste?"</w:t>
            </w:r>
          </w:p>
        </w:tc>
      </w:tr>
      <w:tr>
        <w:tc>
          <w:tcPr>
            <w:tcW w:type="dxa" w:w="1600"/>
            <w:tcBorders>
              <w:top w:val="none" w:color="FFFFFF" w:sz="0"/>
              <w:left w:val="none" w:color="FFFFFF" w:sz="0"/>
              <w:bottom w:val="none" w:color="FFFFFF" w:sz="0"/>
              <w:right w:val="none" w:color="FFFFFF" w:sz="0"/>
            </w:tcBorders>
            <w:shd w:fill="E8A020" w:val="clear"/>
            <w:tcMar>
              <w:top w:type="dxa" w:w="80"/>
              <w:left w:type="dxa" w:w="200"/>
              <w:bottom w:type="dxa" w:w="80"/>
              <w:right w:type="dxa" w:w="120"/>
            </w:tcMar>
          </w:tcPr>
          <w:p>
            <w:r>
              <w:rPr>
                <w:rFonts w:ascii="Arial" w:cs="Arial" w:eastAsia="Arial" w:hAnsi="Arial"/>
                <w:b/>
                <w:bCs/>
                <w:color w:val="FFFFFF"/>
                <w:sz w:val="18"/>
                <w:szCs w:val="18"/>
              </w:rPr>
              <w:t xml:space="preserve">Fonte</w:t>
            </w:r>
          </w:p>
        </w:tc>
        <w:tc>
          <w:tcPr>
            <w:tcW w:type="dxa" w:w="7760"/>
            <w:tcBorders>
              <w:top w:val="none" w:color="FFFFFF" w:sz="0"/>
              <w:left w:val="none" w:color="FFFFFF" w:sz="0"/>
              <w:bottom w:val="none" w:color="FFFFFF" w:sz="0"/>
              <w:right w:val="none" w:color="FFFFFF" w:sz="0"/>
            </w:tcBorders>
            <w:shd w:fill="F5F7FA" w:val="clear"/>
            <w:tcMar>
              <w:top w:type="dxa" w:w="80"/>
              <w:left w:type="dxa" w:w="160"/>
              <w:bottom w:type="dxa" w:w="80"/>
              <w:right w:type="dxa" w:w="120"/>
            </w:tcMar>
          </w:tcPr>
          <w:p>
            <w:r>
              <w:rPr>
                <w:rFonts w:ascii="Arial" w:cs="Arial" w:eastAsia="Arial" w:hAnsi="Arial"/>
                <w:color w:val="333333"/>
                <w:sz w:val="19"/>
                <w:szCs w:val="19"/>
              </w:rPr>
              <w:t xml:space="preserve">Múltiplas fontes simultâneas — PDFs de versões distintas, wiki + planilha, Compliance + Comercial</w:t>
            </w:r>
          </w:p>
        </w:tc>
      </w:tr>
      <w:tr>
        <w:tc>
          <w:tcPr>
            <w:tcW w:type="dxa" w:w="1600"/>
            <w:tcBorders>
              <w:top w:val="none" w:color="FFFFFF" w:sz="0"/>
              <w:left w:val="none" w:color="FFFFFF" w:sz="0"/>
              <w:bottom w:val="none" w:color="FFFFFF" w:sz="0"/>
              <w:right w:val="none" w:color="FFFFFF" w:sz="0"/>
            </w:tcBorders>
            <w:shd w:fill="E8A020" w:val="clear"/>
            <w:tcMar>
              <w:top w:type="dxa" w:w="80"/>
              <w:left w:type="dxa" w:w="200"/>
              <w:bottom w:type="dxa" w:w="80"/>
              <w:right w:type="dxa" w:w="120"/>
            </w:tcMar>
          </w:tcPr>
          <w:p>
            <w:r>
              <w:rPr>
                <w:rFonts w:ascii="Arial" w:cs="Arial" w:eastAsia="Arial" w:hAnsi="Arial"/>
                <w:b/>
                <w:bCs/>
                <w:color w:val="FFFFFF"/>
                <w:sz w:val="18"/>
                <w:szCs w:val="18"/>
              </w:rPr>
              <w:t xml:space="preserve">Chunking</w:t>
            </w:r>
          </w:p>
        </w:tc>
        <w:tc>
          <w:tcPr>
            <w:tcW w:type="dxa" w:w="7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color w:val="333333"/>
                <w:sz w:val="19"/>
                <w:szCs w:val="19"/>
              </w:rPr>
              <w:t xml:space="preserve">Recuperação intencional de múltiplas versões. Versões antigas NÃO devem ser deletadas do índice — marcadas como archived=true e recuperadas explicitamente quando a query for T4. Metadados de data_modificacao, versao e area_responsavel são filtros de retrieval, não apenas campos de exibição.</w:t>
            </w:r>
          </w:p>
        </w:tc>
      </w:tr>
      <w:tr>
        <w:tc>
          <w:tcPr>
            <w:tcW w:type="dxa" w:w="1600"/>
            <w:tcBorders>
              <w:top w:val="none" w:color="FFFFFF" w:sz="0"/>
              <w:left w:val="none" w:color="FFFFFF" w:sz="0"/>
              <w:bottom w:val="none" w:color="FFFFFF" w:sz="0"/>
              <w:right w:val="none" w:color="FFFFFF" w:sz="0"/>
            </w:tcBorders>
            <w:shd w:fill="E8A020" w:val="clear"/>
            <w:tcMar>
              <w:top w:type="dxa" w:w="80"/>
              <w:left w:type="dxa" w:w="200"/>
              <w:bottom w:type="dxa" w:w="80"/>
              <w:right w:type="dxa" w:w="120"/>
            </w:tcMar>
          </w:tcPr>
          <w:p>
            <w:r>
              <w:rPr>
                <w:rFonts w:ascii="Arial" w:cs="Arial" w:eastAsia="Arial" w:hAnsi="Arial"/>
                <w:b/>
                <w:bCs/>
                <w:color w:val="FFFFFF"/>
                <w:sz w:val="18"/>
                <w:szCs w:val="18"/>
              </w:rPr>
              <w:t xml:space="preserve">Retrieval</w:t>
            </w:r>
          </w:p>
        </w:tc>
        <w:tc>
          <w:tcPr>
            <w:tcW w:type="dxa" w:w="7760"/>
            <w:tcBorders>
              <w:top w:val="none" w:color="FFFFFF" w:sz="0"/>
              <w:left w:val="none" w:color="FFFFFF" w:sz="0"/>
              <w:bottom w:val="none" w:color="FFFFFF" w:sz="0"/>
              <w:right w:val="none" w:color="FFFFFF" w:sz="0"/>
            </w:tcBorders>
            <w:shd w:fill="F5F7FA" w:val="clear"/>
            <w:tcMar>
              <w:top w:type="dxa" w:w="80"/>
              <w:left w:type="dxa" w:w="160"/>
              <w:bottom w:type="dxa" w:w="80"/>
              <w:right w:type="dxa" w:w="120"/>
            </w:tcMar>
          </w:tcPr>
          <w:p>
            <w:r>
              <w:rPr>
                <w:rFonts w:ascii="Arial" w:cs="Arial" w:eastAsia="Arial" w:hAnsi="Arial"/>
                <w:color w:val="333333"/>
                <w:sz w:val="19"/>
                <w:szCs w:val="19"/>
              </w:rPr>
              <w:t xml:space="preserve">Vetorial + filtro multi-versão forçado. Detectar T4 por palavras-chave ('mudou', 'diferente', 'antes/depois', 'exceto') e ativar modo de retrieval com diversidade de fonte forçada: ao menos 2 fontes/versões distintas no top-5.</w:t>
            </w:r>
          </w:p>
        </w:tc>
      </w:tr>
      <w:tr>
        <w:tc>
          <w:tcPr>
            <w:tcW w:type="dxa" w:w="1600"/>
            <w:tcBorders>
              <w:top w:val="none" w:color="FFFFFF" w:sz="0"/>
              <w:left w:val="none" w:color="FFFFFF" w:sz="0"/>
              <w:bottom w:val="none" w:color="FFFFFF" w:sz="0"/>
              <w:right w:val="none" w:color="FFFFFF" w:sz="0"/>
            </w:tcBorders>
            <w:shd w:fill="E8A020" w:val="clear"/>
            <w:tcMar>
              <w:top w:type="dxa" w:w="80"/>
              <w:left w:type="dxa" w:w="200"/>
              <w:bottom w:type="dxa" w:w="80"/>
              <w:right w:type="dxa" w:w="120"/>
            </w:tcMar>
          </w:tcPr>
          <w:p>
            <w:r>
              <w:rPr>
                <w:rFonts w:ascii="Arial" w:cs="Arial" w:eastAsia="Arial" w:hAnsi="Arial"/>
                <w:b/>
                <w:bCs/>
                <w:color w:val="FFFFFF"/>
                <w:sz w:val="18"/>
                <w:szCs w:val="18"/>
              </w:rPr>
              <w:t xml:space="preserve">Risco</w:t>
            </w:r>
          </w:p>
        </w:tc>
        <w:tc>
          <w:tcPr>
            <w:tcW w:type="dxa" w:w="7760"/>
            <w:tcBorders>
              <w:top w:val="none" w:color="FFFFFF" w:sz="0"/>
              <w:left w:val="none" w:color="FFFFFF" w:sz="0"/>
              <w:bottom w:val="none" w:color="FFFFFF" w:sz="0"/>
              <w:right w:val="none" w:color="FFFFFF" w:sz="0"/>
            </w:tcBorders>
            <w:shd w:fill="FDECEA" w:val="clear"/>
            <w:tcMar>
              <w:top w:type="dxa" w:w="80"/>
              <w:left w:type="dxa" w:w="160"/>
              <w:bottom w:type="dxa" w:w="80"/>
              <w:right w:type="dxa" w:w="120"/>
            </w:tcMar>
          </w:tcPr>
          <w:p>
            <w:r>
              <w:rPr>
                <w:rFonts w:ascii="Arial" w:cs="Arial" w:eastAsia="Arial" w:hAnsi="Arial"/>
                <w:color w:val="333333"/>
                <w:sz w:val="19"/>
                <w:szCs w:val="19"/>
              </w:rPr>
              <w:t xml:space="preserve">CONFLITO SILENCIOSO: o retriever retorna apenas a versão mais recente (maior score) e suprime a versão anterior — o atendente não sabe que houve mudança. Mitigação: para T4, o sistema DEVE exibir ambas as versões com suas datas e indicar qual é a vigente.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6DA4" w:val="clear"/>
            <w:tcMar>
              <w:top w:type="dxa" w:w="120"/>
              <w:left w:type="dxa" w:w="100"/>
              <w:bottom w:type="dxa" w:w="120"/>
              <w:right w:type="dxa" w:w="80"/>
            </w:tcMar>
          </w:tcPr>
          <w:p>
            <w:pPr>
              <w:jc w:val="center"/>
            </w:pPr>
            <w:r>
              <w:rPr>
                <w:rFonts w:ascii="Arial" w:cs="Arial" w:eastAsia="Arial" w:hAnsi="Arial"/>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D6E4F0" w:val="clear"/>
            <w:tcMar>
              <w:top w:type="dxa" w:w="100"/>
              <w:left w:type="dxa" w:w="180"/>
              <w:bottom w:type="dxa" w:w="100"/>
              <w:right w:type="dxa" w:w="140"/>
            </w:tcMar>
          </w:tcPr>
          <w:p>
            <w:r>
              <w:rPr>
                <w:rFonts w:ascii="Arial" w:cs="Arial" w:eastAsia="Arial" w:hAnsi="Arial"/>
                <w:color w:val="333333"/>
                <w:sz w:val="19"/>
                <w:szCs w:val="19"/>
              </w:rPr>
              <w:t xml:space="preserve">Distribuição estimada de queries na NovaTech: T1 (lookup tabular) ~45% · T2 (regra condicional) ~30% · T3 (processo/fluxo) ~15% · T4 (comparativa/versão) ~10%. Estimativa baseada nos tópicos reportados. Deve ser validada e refinada durante o piloto com atendentes reais.</w:t>
            </w:r>
          </w:p>
        </w:tc>
      </w:tr>
    </w:tbl>
    <w:p>
      <w:pPr>
        <w:spacing w:after="80" w:before="0"/>
      </w:pPr>
    </w:p>
    <w:p>
      <w:pPr>
        <w:pStyle w:val="Heading2"/>
        <w:spacing w:after="100" w:before="280"/>
      </w:pPr>
      <w:r>
        <w:rPr>
          <w:rFonts w:ascii="Arial" w:cs="Arial" w:eastAsia="Arial" w:hAnsi="Arial"/>
          <w:b/>
          <w:bCs/>
          <w:color w:val="2E6DA4"/>
          <w:sz w:val="24"/>
          <w:szCs w:val="24"/>
        </w:rPr>
        <w:t xml:space="preserve">3.1  Matriz de Decisão: Tipo de Pergunta → Arquitetura</w:t>
      </w:r>
    </w:p>
    <w:p>
      <w:pPr>
        <w:spacing w:after="100" w:before="60"/>
      </w:pPr>
      <w:r>
        <w:rPr>
          <w:rFonts w:ascii="Arial" w:cs="Arial" w:eastAsia="Arial" w:hAnsi="Arial"/>
          <w:color w:val="333333"/>
          <w:sz w:val="20"/>
          <w:szCs w:val="20"/>
        </w:rPr>
        <w:t xml:space="preserve">Cada linha da matriz abaixo é uma decisão de design derivada do tipo de pergunta — não do tipo de documento. Esta matriz é a referência central para a implementação do pipeline.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80"/>
        <w:gridCol w:w="1680"/>
        <w:gridCol w:w="1680"/>
        <w:gridCol w:w="2120"/>
      </w:tblGrid>
      <w:tr>
        <w:tc>
          <w:tcPr>
            <w:tcW w:type="dxa" w:w="22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Dimensão</w:t>
            </w:r>
          </w:p>
        </w:tc>
        <w:tc>
          <w:tcPr>
            <w:tcW w:type="dxa" w:w="168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T1 · Lookup Tabular</w:t>
            </w:r>
          </w:p>
        </w:tc>
        <w:tc>
          <w:tcPr>
            <w:tcW w:type="dxa" w:w="168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T2 · Regra Condicional</w:t>
            </w:r>
          </w:p>
        </w:tc>
        <w:tc>
          <w:tcPr>
            <w:tcW w:type="dxa" w:w="168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T3 · Processo/Fluxo</w:t>
            </w:r>
          </w:p>
        </w:tc>
        <w:tc>
          <w:tcPr>
            <w:tcW w:type="dxa" w:w="212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T4 · Comparativa</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Child chunk</w:t>
            </w:r>
          </w:p>
        </w:tc>
        <w:tc>
          <w:tcPr>
            <w:tcW w:type="dxa" w:w="168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150–300t (bloco categoria)</w:t>
            </w:r>
          </w:p>
        </w:tc>
        <w:tc>
          <w:tcPr>
            <w:tcW w:type="dxa" w:w="168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100–150t (cláusula)</w:t>
            </w:r>
          </w:p>
        </w:tc>
        <w:tc>
          <w:tcPr>
            <w:tcW w:type="dxa" w:w="168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120–200t (etapa)</w:t>
            </w:r>
          </w:p>
        </w:tc>
        <w:tc>
          <w:tcPr>
            <w:tcW w:type="dxa" w:w="212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150–200t (parágrafo)</w:t>
            </w:r>
          </w:p>
        </w:tc>
      </w:tr>
      <w:tr>
        <w:tc>
          <w:tcPr>
            <w:tcW w:type="dxa" w:w="22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Parent chunk</w:t>
            </w:r>
          </w:p>
        </w:tc>
        <w:tc>
          <w:tcPr>
            <w:tcW w:type="dxa" w:w="168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 child (sem parent)</w:t>
            </w:r>
          </w:p>
        </w:tc>
        <w:tc>
          <w:tcPr>
            <w:tcW w:type="dxa" w:w="168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500–700t (seção completa)</w:t>
            </w:r>
          </w:p>
        </w:tc>
        <w:tc>
          <w:tcPr>
            <w:tcW w:type="dxa" w:w="168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Página/seção inteira do processo</w:t>
            </w:r>
          </w:p>
        </w:tc>
        <w:tc>
          <w:tcPr>
            <w:tcW w:type="dxa" w:w="212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Chunk + versão anterior do tópico</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Busca (ponderação)</w:t>
            </w:r>
          </w:p>
        </w:tc>
        <w:tc>
          <w:tcPr>
            <w:tcW w:type="dxa" w:w="168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BM25 70% / Vetorial 30%</w:t>
            </w:r>
          </w:p>
        </w:tc>
        <w:tc>
          <w:tcPr>
            <w:tcW w:type="dxa" w:w="168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Vetorial 70% / BM25 30%</w:t>
            </w:r>
          </w:p>
        </w:tc>
        <w:tc>
          <w:tcPr>
            <w:tcW w:type="dxa" w:w="168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Vetorial + grafo next_chunk_id</w:t>
            </w:r>
          </w:p>
        </w:tc>
        <w:tc>
          <w:tcPr>
            <w:tcW w:type="dxa" w:w="212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Vetorial + filtro multi-versão</w:t>
            </w:r>
          </w:p>
        </w:tc>
      </w:tr>
      <w:tr>
        <w:tc>
          <w:tcPr>
            <w:tcW w:type="dxa" w:w="22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Reranking</w:t>
            </w:r>
          </w:p>
        </w:tc>
        <w:tc>
          <w:tcPr>
            <w:tcW w:type="dxa" w:w="168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Azure Semantic Ranker</w:t>
            </w:r>
          </w:p>
        </w:tc>
        <w:tc>
          <w:tcPr>
            <w:tcW w:type="dxa" w:w="168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Azure Semantic Ranker</w:t>
            </w:r>
          </w:p>
        </w:tc>
        <w:tc>
          <w:tcPr>
            <w:tcW w:type="dxa" w:w="168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NÃO aplicar — preservar ordem</w:t>
            </w:r>
          </w:p>
        </w:tc>
        <w:tc>
          <w:tcPr>
            <w:tcW w:type="dxa" w:w="212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Reranker com penalização de mesma fonte</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Metadados críticos</w:t>
            </w:r>
          </w:p>
        </w:tc>
        <w:tc>
          <w:tcPr>
            <w:tcW w:type="dxa" w:w="168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região, tipo_carga, peso</w:t>
            </w:r>
          </w:p>
        </w:tc>
        <w:tc>
          <w:tcPr>
            <w:tcW w:type="dxa" w:w="168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area_responsavel, versao, data</w:t>
            </w:r>
          </w:p>
        </w:tc>
        <w:tc>
          <w:tcPr>
            <w:tcW w:type="dxa" w:w="168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step_index, next_chunk_id, processo_id</w:t>
            </w:r>
          </w:p>
        </w:tc>
        <w:tc>
          <w:tcPr>
            <w:tcW w:type="dxa" w:w="212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data_modificacao, versao, archived</w:t>
            </w:r>
          </w:p>
        </w:tc>
      </w:tr>
      <w:tr>
        <w:tc>
          <w:tcPr>
            <w:tcW w:type="dxa" w:w="22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Risco principal</w:t>
            </w:r>
          </w:p>
        </w:tc>
        <w:tc>
          <w:tcPr>
            <w:tcW w:type="dxa" w:w="168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Falsa precisão de faixa</w:t>
            </w:r>
          </w:p>
        </w:tc>
        <w:tc>
          <w:tcPr>
            <w:tcW w:type="dxa" w:w="168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Chunk truncado antes da exceção</w:t>
            </w:r>
          </w:p>
        </w:tc>
        <w:tc>
          <w:tcPr>
            <w:tcW w:type="dxa" w:w="168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Ordem quebrada no contexto</w:t>
            </w:r>
          </w:p>
        </w:tc>
        <w:tc>
          <w:tcPr>
            <w:tcW w:type="dxa" w:w="212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Conflito silencioso entre versões</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Mitigação</w:t>
            </w:r>
          </w:p>
        </w:tc>
        <w:tc>
          <w:tcPr>
            <w:tcW w:type="dxa" w:w="168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Todas as faixas no chunk</w:t>
            </w:r>
          </w:p>
        </w:tc>
        <w:tc>
          <w:tcPr>
            <w:tcW w:type="dxa" w:w="168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Parent inclui 2+ parágrafos</w:t>
            </w:r>
          </w:p>
        </w:tc>
        <w:tc>
          <w:tcPr>
            <w:tcW w:type="dxa" w:w="168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Bloco sequencial contíguo no prompt</w:t>
            </w:r>
          </w:p>
        </w:tc>
        <w:tc>
          <w:tcPr>
            <w:tcW w:type="dxa" w:w="212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Retrieval forçado de múltiplas versões</w:t>
            </w:r>
          </w:p>
        </w:tc>
      </w:tr>
      <w:tr>
        <w:tc>
          <w:tcPr>
            <w:tcW w:type="dxa" w:w="22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Fallback</w:t>
            </w:r>
          </w:p>
        </w:tc>
        <w:tc>
          <w:tcPr>
            <w:tcW w:type="dxa" w:w="168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Não interpolar faixas ausentes</w:t>
            </w:r>
          </w:p>
        </w:tc>
        <w:tc>
          <w:tcPr>
            <w:tcW w:type="dxa" w:w="168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Escalar para Compliance</w:t>
            </w:r>
          </w:p>
        </w:tc>
        <w:tc>
          <w:tcPr>
            <w:tcW w:type="dxa" w:w="168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Indicar processo incompleto + fonte</w:t>
            </w:r>
          </w:p>
        </w:tc>
        <w:tc>
          <w:tcPr>
            <w:tcW w:type="dxa" w:w="212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Escalar se não conseguir comparar versões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8A020" w:val="clear"/>
            <w:tcMar>
              <w:top w:type="dxa" w:w="120"/>
              <w:left w:type="dxa" w:w="100"/>
              <w:bottom w:type="dxa" w:w="120"/>
              <w:right w:type="dxa" w:w="80"/>
            </w:tcMar>
          </w:tcPr>
          <w:p>
            <w:pPr>
              <w:jc w:val="center"/>
            </w:pPr>
            <w:r>
              <w:rPr>
                <w:rFonts w:ascii="Arial" w:cs="Arial" w:eastAsia="Arial" w:hAnsi="Arial"/>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FEF6E4" w:val="clear"/>
            <w:tcMar>
              <w:top w:type="dxa" w:w="100"/>
              <w:left w:type="dxa" w:w="180"/>
              <w:bottom w:type="dxa" w:w="100"/>
              <w:right w:type="dxa" w:w="140"/>
            </w:tcMar>
          </w:tcPr>
          <w:p>
            <w:r>
              <w:rPr>
                <w:rFonts w:ascii="Arial" w:cs="Arial" w:eastAsia="Arial" w:hAnsi="Arial"/>
                <w:color w:val="333333"/>
                <w:sz w:val="19"/>
                <w:szCs w:val="19"/>
              </w:rPr>
              <w:t xml:space="preserve">O sistema precisa classificar o tipo de query ANTES de executar o retrieval. Uma query T3 processada com lógica de T1 (BM25 puro) retorna o nome do procedimento mas não suas etapas. Uma query T4 tratada como T2 retorna apenas a versão mais recente sem sinalizar que houve mudança. A classificação de query é a peça que unifica toda a arquitetura.</w:t>
            </w:r>
          </w:p>
        </w:tc>
      </w:tr>
    </w:tbl>
    <w:p>
      <w:pPr>
        <w:spacing w:after="80" w:before="0"/>
      </w:pPr>
    </w:p>
    <w:p>
      <w:pPr>
        <w:pStyle w:val="Heading2"/>
        <w:spacing w:after="100" w:before="280"/>
      </w:pPr>
      <w:r>
        <w:rPr>
          <w:rFonts w:ascii="Arial" w:cs="Arial" w:eastAsia="Arial" w:hAnsi="Arial"/>
          <w:b/>
          <w:bCs/>
          <w:color w:val="2E6DA4"/>
          <w:sz w:val="24"/>
          <w:szCs w:val="24"/>
        </w:rPr>
        <w:t xml:space="preserve">3.2  Classificação Automática do Tipo de Query</w:t>
      </w:r>
    </w:p>
    <w:p>
      <w:pPr>
        <w:spacing w:after="100" w:before="60"/>
      </w:pPr>
      <w:r>
        <w:rPr>
          <w:rFonts w:ascii="Arial" w:cs="Arial" w:eastAsia="Arial" w:hAnsi="Arial"/>
          <w:color w:val="333333"/>
          <w:sz w:val="20"/>
          <w:szCs w:val="20"/>
        </w:rPr>
        <w:t xml:space="preserve">Para que a Matriz 3.1 funcione em produção, a query do atendente deve ser classificada antes do retrieval. Há duas abordagens complementares:</w:t>
      </w:r>
    </w:p>
    <w:p>
      <w:pPr>
        <w:spacing w:after="60" w:before="0"/>
      </w:pPr>
    </w:p>
    <w:p>
      <w:pPr>
        <w:pStyle w:val="Heading3"/>
        <w:spacing w:after="80" w:before="200"/>
      </w:pPr>
      <w:r>
        <w:rPr>
          <w:rFonts w:ascii="Arial" w:cs="Arial" w:eastAsia="Arial" w:hAnsi="Arial"/>
          <w:b/>
          <w:bCs/>
          <w:color w:val="1E3A5F"/>
          <w:sz w:val="22"/>
          <w:szCs w:val="22"/>
        </w:rPr>
        <w:t xml:space="preserve">Fase 1 — MVP: Classificação por Heurísticas de Palavras-Chave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F0FFF4" w:val="clear"/>
            <w:tcMar>
              <w:top w:type="dxa" w:w="120"/>
              <w:left w:type="dxa" w:w="300"/>
              <w:bottom w:type="dxa" w:w="120"/>
              <w:right w:type="dxa" w:w="300"/>
            </w:tcMar>
          </w:tcPr>
          <w:p>
            <w:pPr>
              <w:spacing w:after="40" w:before="40"/>
            </w:pPr>
            <w:r>
              <w:rPr>
                <w:rFonts w:ascii="Courier New" w:cs="Courier New" w:eastAsia="Courier New" w:hAnsi="Courier New"/>
                <w:color w:val="0A3D1F"/>
                <w:sz w:val="20"/>
                <w:szCs w:val="20"/>
              </w:rPr>
              <w:t xml:space="preserve">T1 → prazo, valor, frete, quanto, custo, tabela, faixa, kg, região, tipo</w:t>
            </w:r>
          </w:p>
          <w:p>
            <w:pPr>
              <w:spacing w:after="40" w:before="40"/>
            </w:pPr>
            <w:r>
              <w:rPr>
                <w:rFonts w:ascii="Courier New" w:cs="Courier New" w:eastAsia="Courier New" w:hAnsi="Courier New"/>
                <w:color w:val="0A3D1F"/>
                <w:sz w:val="20"/>
                <w:szCs w:val="20"/>
              </w:rPr>
              <w:t xml:space="preserve">T2 → direito, pode, permitido, política, regra, condição, caso, exceção, cláusula</w:t>
            </w:r>
          </w:p>
          <w:p>
            <w:pPr>
              <w:spacing w:after="40" w:before="40"/>
            </w:pPr>
            <w:r>
              <w:rPr>
                <w:rFonts w:ascii="Courier New" w:cs="Courier New" w:eastAsia="Courier New" w:hAnsi="Courier New"/>
                <w:color w:val="0A3D1F"/>
                <w:sz w:val="20"/>
                <w:szCs w:val="20"/>
              </w:rPr>
              <w:t xml:space="preserve">T3 → como, procedimento, etapas, processo, passo, fluxo, abrir, solicitar, fazer</w:t>
            </w:r>
          </w:p>
          <w:p>
            <w:pPr>
              <w:spacing w:after="40" w:before="40"/>
            </w:pPr>
            <w:r>
              <w:rPr>
                <w:rFonts w:ascii="Courier New" w:cs="Courier New" w:eastAsia="Courier New" w:hAnsi="Courier New"/>
                <w:color w:val="0A3D1F"/>
                <w:sz w:val="20"/>
                <w:szCs w:val="20"/>
              </w:rPr>
              <w:t xml:space="preserve">T4 → mudou, mudança, diferente, antes, depois, novo, antigo, atualização, versão</w:t>
            </w:r>
          </w:p>
          <w:p>
            <w:pPr>
              <w:spacing w:after="40" w:before="40"/>
            </w:pPr>
            <w:r>
              <w:rPr>
                <w:rFonts w:ascii="Courier New" w:cs="Courier New" w:eastAsia="Courier New" w:hAnsi="Courier New"/>
                <w:color w:val="0A3D1F"/>
                <w:sz w:val="20"/>
                <w:szCs w:val="20"/>
              </w:rPr>
              <w:t xml:space="preserve"/>
            </w:r>
          </w:p>
          <w:p>
            <w:pPr>
              <w:spacing w:after="40" w:before="40"/>
            </w:pPr>
            <w:r>
              <w:rPr>
                <w:rFonts w:ascii="Courier New" w:cs="Courier New" w:eastAsia="Courier New" w:hAnsi="Courier New"/>
                <w:color w:val="0A3D1F"/>
                <w:sz w:val="20"/>
                <w:szCs w:val="20"/>
              </w:rPr>
              <w:t xml:space="preserve">Conflito de heurística → default conservador: T2 (retrieval vetorial, mais seguro para ambiguidades)</w:t>
            </w:r>
          </w:p>
          <w:p>
            <w:pPr>
              <w:spacing w:after="40" w:before="40"/>
            </w:pPr>
            <w:r>
              <w:rPr>
                <w:rFonts w:ascii="Courier New" w:cs="Courier New" w:eastAsia="Courier New" w:hAnsi="Courier New"/>
                <w:color w:val="0A3D1F"/>
                <w:sz w:val="20"/>
                <w:szCs w:val="20"/>
              </w:rPr>
              <w:t xml:space="preserve">Cobertura esperada: ~80% das queries classificadas corretamente</w:t>
            </w:r>
          </w:p>
        </w:tc>
      </w:tr>
    </w:tbl>
    <w:p>
      <w:pPr>
        <w:spacing w:after="80" w:before="0"/>
      </w:pPr>
    </w:p>
    <w:p>
      <w:pPr>
        <w:pStyle w:val="Heading3"/>
        <w:spacing w:after="80" w:before="200"/>
      </w:pPr>
      <w:r>
        <w:rPr>
          <w:rFonts w:ascii="Arial" w:cs="Arial" w:eastAsia="Arial" w:hAnsi="Arial"/>
          <w:b/>
          <w:bCs/>
          <w:color w:val="1E3A5F"/>
          <w:sz w:val="22"/>
          <w:szCs w:val="22"/>
        </w:rPr>
        <w:t xml:space="preserve">Fase 2 — Classificador LLM Leve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F0F4FA" w:val="clear"/>
            <w:tcMar>
              <w:top w:type="dxa" w:w="120"/>
              <w:left w:type="dxa" w:w="300"/>
              <w:bottom w:type="dxa" w:w="120"/>
              <w:right w:type="dxa" w:w="300"/>
            </w:tcMar>
          </w:tcPr>
          <w:p>
            <w:pPr>
              <w:spacing w:after="40" w:before="40"/>
            </w:pPr>
            <w:r>
              <w:rPr>
                <w:rFonts w:ascii="Courier New" w:cs="Courier New" w:eastAsia="Courier New" w:hAnsi="Courier New"/>
                <w:color w:val="1A3A5C"/>
                <w:sz w:val="20"/>
                <w:szCs w:val="20"/>
              </w:rPr>
              <w:t xml:space="preserve">System: Classifique a query em T1/T2/T3/T4 conforme os critérios abaixo.</w:t>
            </w:r>
          </w:p>
          <w:p>
            <w:pPr>
              <w:spacing w:after="40" w:before="40"/>
            </w:pPr>
            <w:r>
              <w:rPr>
                <w:rFonts w:ascii="Courier New" w:cs="Courier New" w:eastAsia="Courier New" w:hAnsi="Courier New"/>
                <w:color w:val="1A3A5C"/>
                <w:sz w:val="20"/>
                <w:szCs w:val="20"/>
              </w:rPr>
              <w:t xml:space="preserve">         Retorne APENAS o tipo, sem explicação.</w:t>
            </w:r>
          </w:p>
          <w:p>
            <w:pPr>
              <w:spacing w:after="40" w:before="40"/>
            </w:pPr>
            <w:r>
              <w:rPr>
                <w:rFonts w:ascii="Courier New" w:cs="Courier New" w:eastAsia="Courier New" w:hAnsi="Courier New"/>
                <w:color w:val="1A3A5C"/>
                <w:sz w:val="20"/>
                <w:szCs w:val="20"/>
              </w:rPr>
              <w:t xml:space="preserve">  T1 = Busca de valor específico em tabela (prazo, valor, faixa)</w:t>
            </w:r>
          </w:p>
          <w:p>
            <w:pPr>
              <w:spacing w:after="40" w:before="40"/>
            </w:pPr>
            <w:r>
              <w:rPr>
                <w:rFonts w:ascii="Courier New" w:cs="Courier New" w:eastAsia="Courier New" w:hAnsi="Courier New"/>
                <w:color w:val="1A3A5C"/>
                <w:sz w:val="20"/>
                <w:szCs w:val="20"/>
              </w:rPr>
              <w:t xml:space="preserve">  T2 = Pergunta sobre política, direito, condição ou exceção</w:t>
            </w:r>
          </w:p>
          <w:p>
            <w:pPr>
              <w:spacing w:after="40" w:before="40"/>
            </w:pPr>
            <w:r>
              <w:rPr>
                <w:rFonts w:ascii="Courier New" w:cs="Courier New" w:eastAsia="Courier New" w:hAnsi="Courier New"/>
                <w:color w:val="1A3A5C"/>
                <w:sz w:val="20"/>
                <w:szCs w:val="20"/>
              </w:rPr>
              <w:t xml:space="preserve">  T3 = Pergunta sobre como fazer algo, etapas de um procedimento</w:t>
            </w:r>
          </w:p>
          <w:p>
            <w:pPr>
              <w:spacing w:after="40" w:before="40"/>
            </w:pPr>
            <w:r>
              <w:rPr>
                <w:rFonts w:ascii="Courier New" w:cs="Courier New" w:eastAsia="Courier New" w:hAnsi="Courier New"/>
                <w:color w:val="1A3A5C"/>
                <w:sz w:val="20"/>
                <w:szCs w:val="20"/>
              </w:rPr>
              <w:t xml:space="preserve">  T4 = Pergunta sobre mudança, diferença entre casos ou versões</w:t>
            </w:r>
          </w:p>
          <w:p>
            <w:pPr>
              <w:spacing w:after="40" w:before="40"/>
            </w:pPr>
            <w:r>
              <w:rPr>
                <w:rFonts w:ascii="Courier New" w:cs="Courier New" w:eastAsia="Courier New" w:hAnsi="Courier New"/>
                <w:color w:val="1A3A5C"/>
                <w:sz w:val="20"/>
                <w:szCs w:val="20"/>
              </w:rPr>
              <w:t xml:space="preserve">Query: {query_do_atendente}</w:t>
            </w:r>
          </w:p>
          <w:p>
            <w:pPr>
              <w:spacing w:after="40" w:before="40"/>
            </w:pPr>
            <w:r>
              <w:rPr>
                <w:rFonts w:ascii="Courier New" w:cs="Courier New" w:eastAsia="Courier New" w:hAnsi="Courier New"/>
                <w:color w:val="1A3A5C"/>
                <w:sz w:val="20"/>
                <w:szCs w:val="20"/>
              </w:rPr>
              <w:t xml:space="preserve">Tipo:</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Modelo: GPT-4o-mini · Custo adicional: ~US$ 0,00003/query (desprezível)</w:t>
            </w:r>
          </w:p>
          <w:p>
            <w:pPr>
              <w:spacing w:after="40" w:before="40"/>
            </w:pPr>
            <w:r>
              <w:rPr>
                <w:rFonts w:ascii="Courier New" w:cs="Courier New" w:eastAsia="Courier New" w:hAnsi="Courier New"/>
                <w:color w:val="1A3A5C"/>
                <w:sz w:val="20"/>
                <w:szCs w:val="20"/>
              </w:rPr>
              <w:t xml:space="preserve">Latência adicional: ~200–400ms · Cobertura esperada: ~95%</w:t>
            </w:r>
          </w:p>
        </w:tc>
      </w:tr>
    </w:tbl>
    <w:p>
      <w:pPr>
        <w:spacing w:after="100" w:before="0"/>
      </w:pPr>
    </w:p>
    <w:p>
      <w:pPr>
        <w:pStyle w:val="Heading2"/>
        <w:spacing w:after="100" w:before="280"/>
      </w:pPr>
      <w:r>
        <w:rPr>
          <w:rFonts w:ascii="Arial" w:cs="Arial" w:eastAsia="Arial" w:hAnsi="Arial"/>
          <w:b/>
          <w:bCs/>
          <w:color w:val="2E6DA4"/>
          <w:sz w:val="24"/>
          <w:szCs w:val="24"/>
        </w:rPr>
        <w:t xml:space="preserve">3.3  Orçamento de Contexto por Query</w:t>
      </w:r>
    </w:p>
    <w:p>
      <w:pPr>
        <w:spacing w:after="40" w:before="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4960"/>
      </w:tblGrid>
      <w:tr>
        <w:tc>
          <w:tcPr>
            <w:tcW w:type="dxa" w:w="3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Componente do Contexto</w:t>
            </w:r>
          </w:p>
        </w:tc>
        <w:tc>
          <w:tcPr>
            <w:tcW w:type="dxa" w:w="20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Tokens Alocados</w:t>
            </w:r>
          </w:p>
        </w:tc>
        <w:tc>
          <w:tcPr>
            <w:tcW w:type="dxa" w:w="49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Nota</w:t>
            </w:r>
          </w:p>
        </w:tc>
      </w:tr>
      <w:tr>
        <w:tc>
          <w:tcPr>
            <w:tcW w:type="dxa" w:w="3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Janela total GPT-4o</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128.000</w:t>
            </w:r>
          </w:p>
        </w:tc>
        <w:tc>
          <w:tcPr>
            <w:tcW w:type="dxa" w:w="4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Fixo</w:t>
            </w:r>
          </w:p>
        </w:tc>
      </w:tr>
      <w:tr>
        <w:tc>
          <w:tcPr>
            <w:tcW w:type="dxa" w:w="34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System prompt + instruções</w:t>
            </w:r>
          </w:p>
        </w:tc>
        <w:tc>
          <w:tcPr>
            <w:tcW w:type="dxa" w:w="20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~3.500</w:t>
            </w:r>
          </w:p>
        </w:tc>
        <w:tc>
          <w:tcPr>
            <w:tcW w:type="dxa" w:w="49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Inclui instruções de conflito, fallback por tipo de query e citação de fonte</w:t>
            </w:r>
          </w:p>
        </w:tc>
      </w:tr>
      <w:tr>
        <w:tc>
          <w:tcPr>
            <w:tcW w:type="dxa" w:w="3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Classificação de query (fase 1)</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~200</w:t>
            </w:r>
          </w:p>
        </w:tc>
        <w:tc>
          <w:tcPr>
            <w:tcW w:type="dxa" w:w="4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Instrução de classificação por heurística — custo mínimo</w:t>
            </w:r>
          </w:p>
        </w:tc>
      </w:tr>
      <w:tr>
        <w:tc>
          <w:tcPr>
            <w:tcW w:type="dxa" w:w="34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Histórico de conversa (3 trocas)</w:t>
            </w:r>
          </w:p>
        </w:tc>
        <w:tc>
          <w:tcPr>
            <w:tcW w:type="dxa" w:w="20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~2.000</w:t>
            </w:r>
          </w:p>
        </w:tc>
        <w:tc>
          <w:tcPr>
            <w:tcW w:type="dxa" w:w="49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Conservador: respostas de atendimento podem ser longas</w:t>
            </w:r>
          </w:p>
        </w:tc>
      </w:tr>
      <w:tr>
        <w:tc>
          <w:tcPr>
            <w:tcW w:type="dxa" w:w="3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Resposta reservada (output)</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~800</w:t>
            </w:r>
          </w:p>
        </w:tc>
        <w:tc>
          <w:tcPr>
            <w:tcW w:type="dxa" w:w="4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Respostas de atendimento tipicamente concisas</w:t>
            </w:r>
          </w:p>
        </w:tc>
      </w:tr>
      <w:tr>
        <w:tc>
          <w:tcPr>
            <w:tcW w:type="dxa" w:w="34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Margem de segurança</w:t>
            </w:r>
          </w:p>
        </w:tc>
        <w:tc>
          <w:tcPr>
            <w:tcW w:type="dxa" w:w="20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~2.000</w:t>
            </w:r>
          </w:p>
        </w:tc>
        <w:tc>
          <w:tcPr>
            <w:tcW w:type="dxa" w:w="49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Buffer para variações de prompt</w:t>
            </w:r>
          </w:p>
        </w:tc>
      </w:tr>
      <w:tr>
        <w:tc>
          <w:tcPr>
            <w:tcW w:type="dxa" w:w="3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Disponível para chunks</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~119.500</w:t>
            </w:r>
          </w:p>
        </w:tc>
        <w:tc>
          <w:tcPr>
            <w:tcW w:type="dxa" w:w="4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Orçamento efetivo de retrieval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F0F4FA" w:val="clear"/>
            <w:tcMar>
              <w:top w:type="dxa" w:w="120"/>
              <w:left w:type="dxa" w:w="300"/>
              <w:bottom w:type="dxa" w:w="120"/>
              <w:right w:type="dxa" w:w="300"/>
            </w:tcMar>
          </w:tcPr>
          <w:p>
            <w:pPr>
              <w:spacing w:after="40" w:before="40"/>
            </w:pPr>
            <w:r>
              <w:rPr>
                <w:rFonts w:ascii="Courier New" w:cs="Courier New" w:eastAsia="Courier New" w:hAnsi="Courier New"/>
                <w:color w:val="1A3A5C"/>
                <w:sz w:val="20"/>
                <w:szCs w:val="20"/>
              </w:rPr>
              <w:t xml:space="preserve">Capacidade bruta:  119.500 ÷ 500  =  ~239 chunks de 500 tokens</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Recomendação operacional (por tipo de query):</w:t>
            </w:r>
          </w:p>
          <w:p>
            <w:pPr>
              <w:spacing w:after="40" w:before="40"/>
            </w:pPr>
            <w:r>
              <w:rPr>
                <w:rFonts w:ascii="Courier New" w:cs="Courier New" w:eastAsia="Courier New" w:hAnsi="Courier New"/>
                <w:color w:val="1A3A5C"/>
                <w:sz w:val="20"/>
                <w:szCs w:val="20"/>
              </w:rPr>
              <w:t xml:space="preserve">  T1: 3–5 blocos de categoria (~150–300 tokens cada) → ~750–1.500 tokens efetivos</w:t>
            </w:r>
          </w:p>
          <w:p>
            <w:pPr>
              <w:spacing w:after="40" w:before="40"/>
            </w:pPr>
            <w:r>
              <w:rPr>
                <w:rFonts w:ascii="Courier New" w:cs="Courier New" w:eastAsia="Courier New" w:hAnsi="Courier New"/>
                <w:color w:val="1A3A5C"/>
                <w:sz w:val="20"/>
                <w:szCs w:val="20"/>
              </w:rPr>
              <w:t xml:space="preserve">  T2: 5–8 parent chunks (~600 tokens cada)           → ~3.000–4.800 tokens efetivos</w:t>
            </w:r>
          </w:p>
          <w:p>
            <w:pPr>
              <w:spacing w:after="40" w:before="40"/>
            </w:pPr>
            <w:r>
              <w:rPr>
                <w:rFonts w:ascii="Courier New" w:cs="Courier New" w:eastAsia="Courier New" w:hAnsi="Courier New"/>
                <w:color w:val="1A3A5C"/>
                <w:sz w:val="20"/>
                <w:szCs w:val="20"/>
              </w:rPr>
              <w:t xml:space="preserve">  T3: 1 bloco de processo completo (~800–1.500 tokens) → injetado como bloco único</w:t>
            </w:r>
          </w:p>
          <w:p>
            <w:pPr>
              <w:spacing w:after="40" w:before="40"/>
            </w:pPr>
            <w:r>
              <w:rPr>
                <w:rFonts w:ascii="Courier New" w:cs="Courier New" w:eastAsia="Courier New" w:hAnsi="Courier New"/>
                <w:color w:val="1A3A5C"/>
                <w:sz w:val="20"/>
                <w:szCs w:val="20"/>
              </w:rPr>
              <w:t xml:space="preserve">  T4: 6–10 chunks de versões distintas (~600 tokens)  → ~3.600–6.000 tokens efetivos</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 Uso médio ponderado: ~2.500–4.000 tokens efetivos por query (~2–3% da capacidade)</w:t>
            </w:r>
          </w:p>
          <w:p>
            <w:pPr>
              <w:spacing w:after="40" w:before="40"/>
            </w:pPr>
            <w:r>
              <w:rPr>
                <w:rFonts w:ascii="Courier New" w:cs="Courier New" w:eastAsia="Courier New" w:hAnsi="Courier New"/>
                <w:color w:val="1A3A5C"/>
                <w:sz w:val="20"/>
                <w:szCs w:val="20"/>
              </w:rPr>
              <w:t xml:space="preserve">   Usar apenas 2–3% da capacidade é intencional: qualidade &gt; quantidade.</w:t>
            </w:r>
          </w:p>
          <w:p>
            <w:pPr>
              <w:spacing w:after="40" w:before="40"/>
            </w:pPr>
            <w:r>
              <w:rPr>
                <w:rFonts w:ascii="Courier New" w:cs="Courier New" w:eastAsia="Courier New" w:hAnsi="Courier New"/>
                <w:color w:val="1A3A5C"/>
                <w:sz w:val="20"/>
                <w:szCs w:val="20"/>
              </w:rPr>
              <w:t xml:space="preserve">   Injetar 239 chunks seria desperdício computacional e reduziria a precisão.</w:t>
            </w:r>
          </w:p>
        </w:tc>
      </w:tr>
    </w:tbl>
    <w:p>
      <w:pPr>
        <w:spacing w:after="100" w:before="0"/>
      </w:pPr>
    </w:p>
    <w:p>
      <w:pPr>
        <w:pStyle w:val="Heading2"/>
        <w:spacing w:after="100" w:before="280"/>
      </w:pPr>
      <w:r>
        <w:rPr>
          <w:rFonts w:ascii="Arial" w:cs="Arial" w:eastAsia="Arial" w:hAnsi="Arial"/>
          <w:b/>
          <w:bCs/>
          <w:color w:val="2E6DA4"/>
          <w:sz w:val="24"/>
          <w:szCs w:val="24"/>
        </w:rPr>
        <w:t xml:space="preserve">3.4  Análise de Latência do Pipeline</w:t>
      </w:r>
    </w:p>
    <w:p>
      <w:pPr>
        <w:spacing w:after="100" w:before="60"/>
      </w:pPr>
      <w:r>
        <w:rPr>
          <w:rFonts w:ascii="Arial" w:cs="Arial" w:eastAsia="Arial" w:hAnsi="Arial"/>
          <w:color w:val="333333"/>
          <w:sz w:val="20"/>
          <w:szCs w:val="20"/>
        </w:rPr>
        <w:t xml:space="preserve">A meta de '&lt; 5 segundos' da v1.0 foi uma afirmação sem análise. A tabela decompõe a latência por etapa em condições normais de produção: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Etapa do Pipeline</w:t>
            </w:r>
          </w:p>
        </w:tc>
        <w:tc>
          <w:tcPr>
            <w:tcW w:type="dxa" w:w="20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Latência Estimada</w:t>
            </w:r>
          </w:p>
        </w:tc>
        <w:tc>
          <w:tcPr>
            <w:tcW w:type="dxa" w:w="43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Variável Crítica</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Classificação de query (heurística fase 1)</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~5 ms</w:t>
            </w:r>
          </w:p>
        </w:tc>
        <w:tc>
          <w:tcPr>
            <w:tcW w:type="dxa" w:w="4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Processamento local — desprezível</w:t>
            </w:r>
          </w:p>
        </w:tc>
      </w:tr>
      <w:tr>
        <w:tc>
          <w:tcPr>
            <w:tcW w:type="dxa" w:w="30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Embedding da query (text-embedding-3-large)</w:t>
            </w:r>
          </w:p>
        </w:tc>
        <w:tc>
          <w:tcPr>
            <w:tcW w:type="dxa" w:w="20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~100–200 ms</w:t>
            </w:r>
          </w:p>
        </w:tc>
        <w:tc>
          <w:tcPr>
            <w:tcW w:type="dxa" w:w="43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Latência de rede até Azure OpenAI</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Busca híbrida no Azure AI Search</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~50–150 ms</w:t>
            </w:r>
          </w:p>
        </w:tc>
        <w:tc>
          <w:tcPr>
            <w:tcW w:type="dxa" w:w="4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Tamanho do índice; filtros de metadado aceleram T1</w:t>
            </w:r>
          </w:p>
        </w:tc>
      </w:tr>
      <w:tr>
        <w:tc>
          <w:tcPr>
            <w:tcW w:type="dxa" w:w="30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Reranking (Azure Semantic Ranker)</w:t>
            </w:r>
          </w:p>
        </w:tc>
        <w:tc>
          <w:tcPr>
            <w:tcW w:type="dxa" w:w="20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~800–2.000 ms</w:t>
            </w:r>
          </w:p>
        </w:tc>
        <w:tc>
          <w:tcPr>
            <w:tcW w:type="dxa" w:w="43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Maior gargalo — integrado ao Azure AI Search reduz overhead de rede</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Montagem do prompt + inferência GPT-4o</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~2.000–5.000 ms</w:t>
            </w:r>
          </w:p>
        </w:tc>
        <w:tc>
          <w:tcPr>
            <w:tcW w:type="dxa" w:w="4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Cresce com tokens de input; streaming reduz percepção de latência</w:t>
            </w:r>
          </w:p>
        </w:tc>
      </w:tr>
      <w:tr>
        <w:tc>
          <w:tcPr>
            <w:tcW w:type="dxa" w:w="30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TOTAL (p50 — mediana)</w:t>
            </w:r>
          </w:p>
        </w:tc>
        <w:tc>
          <w:tcPr>
            <w:tcW w:type="dxa" w:w="20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~3.000–7.500 ms</w:t>
            </w:r>
          </w:p>
        </w:tc>
        <w:tc>
          <w:tcPr>
            <w:tcW w:type="dxa" w:w="43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Meta de &lt; 5 s é alcançável na mediana, não garantida</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TOTAL (p95 — pico de carga)</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~8.000–15.000 ms</w:t>
            </w:r>
          </w:p>
        </w:tc>
        <w:tc>
          <w:tcPr>
            <w:tcW w:type="dxa" w:w="4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Sob carga ou instâncias frias pode ultrapassar 10 s</w:t>
            </w:r>
          </w:p>
        </w:tc>
      </w:tr>
    </w:tbl>
    <w:p>
      <w:pPr>
        <w:spacing w:after="80" w:before="0"/>
      </w:pPr>
    </w:p>
    <w:p>
      <w:pPr>
        <w:pStyle w:val="ListParagraph"/>
        <w:numPr>
          <w:ilvl w:val="0"/>
          <w:numId w:val="2"/>
        </w:numPr>
        <w:spacing w:after="60" w:before="40"/>
      </w:pPr>
      <w:r>
        <w:rPr>
          <w:rFonts w:ascii="Arial" w:cs="Arial" w:eastAsia="Arial" w:hAnsi="Arial"/>
          <w:color w:val="333333"/>
          <w:sz w:val="20"/>
          <w:szCs w:val="20"/>
        </w:rPr>
        <w:t xml:space="preserve">Streaming (SSE): implementar streaming da resposta do LLM para que o atendente veja a resposta sendo formada progressivamente — reduz a percepção de latência mesmo sem alterar o tempo total.</w:t>
      </w:r>
    </w:p>
    <w:p>
      <w:pPr>
        <w:pStyle w:val="ListParagraph"/>
        <w:numPr>
          <w:ilvl w:val="0"/>
          <w:numId w:val="2"/>
        </w:numPr>
        <w:spacing w:after="60" w:before="40"/>
      </w:pPr>
      <w:r>
        <w:rPr>
          <w:rFonts w:ascii="Arial" w:cs="Arial" w:eastAsia="Arial" w:hAnsi="Arial"/>
          <w:color w:val="333333"/>
          <w:sz w:val="20"/>
          <w:szCs w:val="20"/>
        </w:rPr>
        <w:t xml:space="preserve">Cache semântico: queries T1 e T2 recorrentes (ex.: 'prazo Nordeste fracionado 50kg') podem ser cacheadas com GPTCache ou implementação própria, atingindo 20–40% de hit rate e respondendo em &lt; 200ms nesses casos.</w:t>
      </w:r>
    </w:p>
    <w:p>
      <w:pPr>
        <w:pStyle w:val="ListParagraph"/>
        <w:numPr>
          <w:ilvl w:val="0"/>
          <w:numId w:val="2"/>
        </w:numPr>
        <w:spacing w:after="60" w:before="40"/>
      </w:pPr>
      <w:r>
        <w:rPr>
          <w:rFonts w:ascii="Arial" w:cs="Arial" w:eastAsia="Arial" w:hAnsi="Arial"/>
          <w:color w:val="333333"/>
          <w:sz w:val="20"/>
          <w:szCs w:val="20"/>
        </w:rPr>
        <w:t xml:space="preserve">T3 sem reranking: queries de processo não passam pelo reranker — o grafo de sequência determina quais chunks injetar. Isso reduz a latência de T3 em ~1–2 s versus T2.</w:t>
      </w:r>
    </w:p>
    <w:p>
      <w:pPr>
        <w:spacing w:after="100" w:before="0"/>
      </w:pPr>
    </w:p>
    <w:p>
      <w:pPr>
        <w:pStyle w:val="Heading2"/>
        <w:spacing w:after="100" w:before="280"/>
      </w:pPr>
      <w:r>
        <w:rPr>
          <w:rFonts w:ascii="Arial" w:cs="Arial" w:eastAsia="Arial" w:hAnsi="Arial"/>
          <w:b/>
          <w:bCs/>
          <w:color w:val="2E6DA4"/>
          <w:sz w:val="24"/>
          <w:szCs w:val="24"/>
        </w:rPr>
        <w:t xml:space="preserve">3.5  Modelo de Embedding e Vector Store</w:t>
      </w:r>
    </w:p>
    <w:p>
      <w:pPr>
        <w:pStyle w:val="Heading3"/>
        <w:spacing w:after="80" w:before="200"/>
      </w:pPr>
      <w:r>
        <w:rPr>
          <w:rFonts w:ascii="Arial" w:cs="Arial" w:eastAsia="Arial" w:hAnsi="Arial"/>
          <w:b/>
          <w:bCs/>
          <w:color w:val="1E3A5F"/>
          <w:sz w:val="22"/>
          <w:szCs w:val="22"/>
        </w:rPr>
        <w:t xml:space="preserve">Seleção do Modelo de Embedding</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2560"/>
        <w:gridCol w:w="1200"/>
      </w:tblGrid>
      <w:tr>
        <w:tc>
          <w:tcPr>
            <w:tcW w:type="dxa" w:w="28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Modelo</w:t>
            </w:r>
          </w:p>
        </w:tc>
        <w:tc>
          <w:tcPr>
            <w:tcW w:type="dxa" w:w="12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Dimensões</w:t>
            </w:r>
          </w:p>
        </w:tc>
        <w:tc>
          <w:tcPr>
            <w:tcW w:type="dxa" w:w="16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Custo</w:t>
            </w:r>
          </w:p>
        </w:tc>
        <w:tc>
          <w:tcPr>
            <w:tcW w:type="dxa" w:w="25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Qualidade PT-BR Técnico</w:t>
            </w:r>
          </w:p>
        </w:tc>
        <w:tc>
          <w:tcPr>
            <w:tcW w:type="dxa" w:w="12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Recomendação</w:t>
            </w:r>
          </w:p>
        </w:tc>
      </w:tr>
      <w:tr>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text-embedding-3-large</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3.072</w:t>
            </w:r>
          </w:p>
        </w:tc>
        <w:tc>
          <w:tcPr>
            <w:tcW w:type="dxa" w:w="1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US$ 0,13/1M</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Boa — forte em domínios técnicos</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 Recomendado</w:t>
            </w:r>
          </w:p>
        </w:tc>
      </w:tr>
      <w:tr>
        <w:tc>
          <w:tcPr>
            <w:tcW w:type="dxa" w:w="28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multilingual-e5-large</w:t>
            </w:r>
          </w:p>
        </w:tc>
        <w:tc>
          <w:tcPr>
            <w:tcW w:type="dxa" w:w="12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1.024</w:t>
            </w:r>
          </w:p>
        </w:tc>
        <w:tc>
          <w:tcPr>
            <w:tcW w:type="dxa" w:w="1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Open-source</w:t>
            </w:r>
          </w:p>
        </w:tc>
        <w:tc>
          <w:tcPr>
            <w:tcW w:type="dxa" w:w="25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Muito boa para PT-BR; treinada em multilíngue</w:t>
            </w:r>
          </w:p>
        </w:tc>
        <w:tc>
          <w:tcPr>
            <w:tcW w:type="dxa" w:w="12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 Alternativa — hospedar no Azure</w:t>
            </w:r>
          </w:p>
        </w:tc>
      </w:tr>
      <w:tr>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text-embedding-3-small</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1.536</w:t>
            </w:r>
          </w:p>
        </w:tc>
        <w:tc>
          <w:tcPr>
            <w:tcW w:type="dxa" w:w="1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US$ 0,02/1M</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Adequada para textos curtos</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 Aceitável para mini-chunks T1</w:t>
            </w:r>
          </w:p>
        </w:tc>
      </w:tr>
      <w:tr>
        <w:tc>
          <w:tcPr>
            <w:tcW w:type="dxa" w:w="28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text-embedding-ada-002</w:t>
            </w:r>
          </w:p>
        </w:tc>
        <w:tc>
          <w:tcPr>
            <w:tcW w:type="dxa" w:w="12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1.536</w:t>
            </w:r>
          </w:p>
        </w:tc>
        <w:tc>
          <w:tcPr>
            <w:tcW w:type="dxa" w:w="1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US$ 0,10/1M</w:t>
            </w:r>
          </w:p>
        </w:tc>
        <w:tc>
          <w:tcPr>
            <w:tcW w:type="dxa" w:w="25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Inferior aos modelos de 3ª geração</w:t>
            </w:r>
          </w:p>
        </w:tc>
        <w:tc>
          <w:tcPr>
            <w:tcW w:type="dxa" w:w="12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 Modelo legado — não usar</w:t>
            </w:r>
          </w:p>
        </w:tc>
      </w:tr>
    </w:tbl>
    <w:p>
      <w:pPr>
        <w:spacing w:after="80" w:before="0"/>
      </w:pPr>
    </w:p>
    <w:p>
      <w:pPr>
        <w:pStyle w:val="ListParagraph"/>
        <w:numPr>
          <w:ilvl w:val="0"/>
          <w:numId w:val="2"/>
        </w:numPr>
        <w:spacing w:after="60" w:before="40"/>
      </w:pPr>
      <w:r>
        <w:rPr>
          <w:rFonts w:ascii="Arial" w:cs="Arial" w:eastAsia="Arial" w:hAnsi="Arial"/>
          <w:color w:val="333333"/>
          <w:sz w:val="20"/>
          <w:szCs w:val="20"/>
        </w:rPr>
        <w:t xml:space="preserve">Recomendação: text-embedding-3-large como modelo principal. Avaliar multilingual-e5-large em benchmark no corpus real da NovaTech antes do go-live — a diferença de qualidade em jargão logístico PT-BR deve ser medida empiricamente, não assumida.</w:t>
      </w:r>
    </w:p>
    <w:p>
      <w:pPr>
        <w:pStyle w:val="ListParagraph"/>
        <w:numPr>
          <w:ilvl w:val="0"/>
          <w:numId w:val="2"/>
        </w:numPr>
        <w:spacing w:after="60" w:before="40"/>
      </w:pPr>
      <w:r>
        <w:rPr>
          <w:rFonts w:ascii="Arial" w:cs="Arial" w:eastAsia="Arial" w:hAnsi="Arial"/>
          <w:color w:val="333333"/>
          <w:sz w:val="20"/>
          <w:szCs w:val="20"/>
        </w:rPr>
        <w:t xml:space="preserve">Jargão logístico: expandir abreviações antes do embedding ('CTE' → 'Conhecimento de Transporte Eletrônico', 'CTe' → mesmo; 'romaneio' → preservar mas adicionar sinônimo 'manifesto de entrega' no chunk). Isso melhora o recall para T2 e T3 onde semântica domina.</w:t>
      </w:r>
    </w:p>
    <w:p>
      <w:pPr>
        <w:spacing w:after="80" w:before="0"/>
      </w:pPr>
    </w:p>
    <w:p>
      <w:pPr>
        <w:pStyle w:val="Heading3"/>
        <w:spacing w:after="80" w:before="200"/>
      </w:pPr>
      <w:r>
        <w:rPr>
          <w:rFonts w:ascii="Arial" w:cs="Arial" w:eastAsia="Arial" w:hAnsi="Arial"/>
          <w:b/>
          <w:bCs/>
          <w:color w:val="1E3A5F"/>
          <w:sz w:val="22"/>
          <w:szCs w:val="22"/>
        </w:rPr>
        <w:t xml:space="preserve">Seleção do Vector Store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760"/>
        <w:gridCol w:w="1600"/>
      </w:tblGrid>
      <w:tr>
        <w:tc>
          <w:tcPr>
            <w:tcW w:type="dxa" w:w="22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Opção</w:t>
            </w:r>
          </w:p>
        </w:tc>
        <w:tc>
          <w:tcPr>
            <w:tcW w:type="dxa" w:w="28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Prós para NovaTech</w:t>
            </w:r>
          </w:p>
        </w:tc>
        <w:tc>
          <w:tcPr>
            <w:tcW w:type="dxa" w:w="27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Contras / Riscos</w:t>
            </w:r>
          </w:p>
        </w:tc>
        <w:tc>
          <w:tcPr>
            <w:tcW w:type="dxa" w:w="16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Recomendação</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Azure AI Search (híbrido)</w:t>
            </w:r>
          </w:p>
        </w:tc>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Integração nativa M365/SharePoint; Semantic Ranker incluso; controles de acesso AAD; busca híbrida BM25+vetorial nativa</w:t>
            </w:r>
          </w:p>
        </w:tc>
        <w:tc>
          <w:tcPr>
            <w:tcW w:type="dxa" w:w="2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Custo por unidade de busca; configuração mais complexa</w:t>
            </w:r>
          </w:p>
        </w:tc>
        <w:tc>
          <w:tcPr>
            <w:tcW w:type="dxa" w:w="1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 Recomendado</w:t>
            </w:r>
          </w:p>
        </w:tc>
      </w:tr>
      <w:tr>
        <w:tc>
          <w:tcPr>
            <w:tcW w:type="dxa" w:w="22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Chroma (self-hosted)</w:t>
            </w:r>
          </w:p>
        </w:tc>
        <w:tc>
          <w:tcPr>
            <w:tcW w:type="dxa" w:w="28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Gratuito; simples para prototipagem</w:t>
            </w:r>
          </w:p>
        </w:tc>
        <w:tc>
          <w:tcPr>
            <w:tcW w:type="dxa" w:w="27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Sem SLA; sem reranking nativo; não escala</w:t>
            </w:r>
          </w:p>
        </w:tc>
        <w:tc>
          <w:tcPr>
            <w:tcW w:type="dxa" w:w="1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 Apenas para dev/testes</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Pinecone (cloud)</w:t>
            </w:r>
          </w:p>
        </w:tc>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Alta performance</w:t>
            </w:r>
          </w:p>
        </w:tc>
        <w:tc>
          <w:tcPr>
            <w:tcW w:type="dxa" w:w="2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Custo extra fora do Azure; dados saem do ambiente Microsoft</w:t>
            </w:r>
          </w:p>
        </w:tc>
        <w:tc>
          <w:tcPr>
            <w:tcW w:type="dxa" w:w="1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 Não recomendado</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E3A5F" w:val="clear"/>
            <w:tcMar>
              <w:top w:type="dxa" w:w="120"/>
              <w:left w:type="dxa" w:w="100"/>
              <w:bottom w:type="dxa" w:w="120"/>
              <w:right w:type="dxa" w:w="80"/>
            </w:tcMar>
          </w:tcPr>
          <w:p>
            <w:pPr>
              <w:jc w:val="center"/>
            </w:pPr>
            <w:r>
              <w:rPr>
                <w:rFonts w:ascii="Arial" w:cs="Arial" w:eastAsia="Arial" w:hAnsi="Arial"/>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EBF3FA" w:val="clear"/>
            <w:tcMar>
              <w:top w:type="dxa" w:w="100"/>
              <w:left w:type="dxa" w:w="180"/>
              <w:bottom w:type="dxa" w:w="100"/>
              <w:right w:type="dxa" w:w="140"/>
            </w:tcMar>
          </w:tcPr>
          <w:p>
            <w:r>
              <w:rPr>
                <w:rFonts w:ascii="Arial" w:cs="Arial" w:eastAsia="Arial" w:hAnsi="Arial"/>
                <w:color w:val="333333"/>
                <w:sz w:val="19"/>
                <w:szCs w:val="19"/>
              </w:rPr>
              <w:t xml:space="preserve">Azure AI Search com índice híbrido (BM25 + vetorial) é a escolha natural para a NovaTech. A busca híbrida é especialmente vantajosa para o mix de queries: T1 se beneficia do BM25 (termos exatos de região, faixa, tipo), enquanto T2 e T3 se beneficiam do vetorial (semântica de política e processo). T4 usa filtros de metadado combinados com vetorial.</w:t>
            </w:r>
          </w:p>
        </w:tc>
      </w:tr>
    </w:tbl>
    <w:p>
      <w:pPr>
        <w:spacing w:after="100" w:before="0"/>
      </w:pPr>
    </w:p>
    <w:p>
      <w:pPr>
        <w:pStyle w:val="Heading2"/>
        <w:spacing w:after="100" w:before="280"/>
      </w:pPr>
      <w:r>
        <w:rPr>
          <w:rFonts w:ascii="Arial" w:cs="Arial" w:eastAsia="Arial" w:hAnsi="Arial"/>
          <w:b/>
          <w:bCs/>
          <w:color w:val="2E6DA4"/>
          <w:sz w:val="24"/>
          <w:szCs w:val="24"/>
        </w:rPr>
        <w:t xml:space="preserve">3.6  Estratégia de Chunking por Fonte × Tipo de Query</w:t>
      </w:r>
    </w:p>
    <w:p>
      <w:pPr>
        <w:spacing w:after="100" w:before="60"/>
      </w:pPr>
      <w:r>
        <w:rPr>
          <w:rFonts w:ascii="Arial" w:cs="Arial" w:eastAsia="Arial" w:hAnsi="Arial"/>
          <w:color w:val="333333"/>
          <w:sz w:val="20"/>
          <w:szCs w:val="20"/>
        </w:rPr>
        <w:t xml:space="preserve">Com a taxonomia de queries estabelecida, é possível definir o chunking de cada fonte com precisão: não apenas 'como chunkar este documento', mas 'que tipos de query vão buscar aqui e quais chunks precisam encontrar'.</w:t>
      </w:r>
    </w:p>
    <w:p>
      <w:pPr>
        <w:spacing w:after="60" w:before="0"/>
      </w:pPr>
    </w:p>
    <w:p>
      <w:pPr>
        <w:pStyle w:val="Heading3"/>
        <w:spacing w:after="80" w:before="200"/>
      </w:pPr>
      <w:r>
        <w:rPr>
          <w:rFonts w:ascii="Arial" w:cs="Arial" w:eastAsia="Arial" w:hAnsi="Arial"/>
          <w:b/>
          <w:bCs/>
          <w:color w:val="1E3A5F"/>
          <w:sz w:val="22"/>
          <w:szCs w:val="22"/>
        </w:rPr>
        <w:t xml:space="preserve">Planilhas → Serve principalmente T1</w:t>
      </w:r>
    </w:p>
    <w:p>
      <w:pPr>
        <w:pStyle w:val="ListParagraph"/>
        <w:numPr>
          <w:ilvl w:val="0"/>
          <w:numId w:val="2"/>
        </w:numPr>
        <w:spacing w:after="60" w:before="40"/>
      </w:pPr>
      <w:r>
        <w:rPr>
          <w:rFonts w:ascii="Arial" w:cs="Arial" w:eastAsia="Arial" w:hAnsi="Arial"/>
          <w:color w:val="333333"/>
          <w:sz w:val="20"/>
          <w:szCs w:val="20"/>
        </w:rPr>
        <w:t xml:space="preserve">Chunking por bloco de categoria (150–300 tokens): todas as linhas de uma mesma dimensão (região × tipo de carga) em um único chunk. O atendente que pergunta sobre 'Nordeste, fracionado' recebe TODAS as faixas de peso dessa combinação — não apenas a linha da faixa exata.</w:t>
      </w:r>
    </w:p>
    <w:p>
      <w:pPr>
        <w:pStyle w:val="ListParagraph"/>
        <w:numPr>
          <w:ilvl w:val="0"/>
          <w:numId w:val="2"/>
        </w:numPr>
        <w:spacing w:after="60" w:before="40"/>
      </w:pPr>
      <w:r>
        <w:rPr>
          <w:rFonts w:ascii="Arial" w:cs="Arial" w:eastAsia="Arial" w:hAnsi="Arial"/>
          <w:color w:val="333333"/>
          <w:sz w:val="20"/>
          <w:szCs w:val="20"/>
        </w:rPr>
        <w:t xml:space="preserve">Metadados como filtros de retrieval: região, tipo_carga e faixa_peso devem ser campos indexáveis no Azure AI Search (não apenas texto), ativando filtros de metadado antes da busca semântica para T1 — elevando precisão de ~70% para ~90%.</w:t>
      </w:r>
    </w:p>
    <w:p>
      <w:pPr>
        <w:pStyle w:val="ListParagraph"/>
        <w:numPr>
          <w:ilvl w:val="0"/>
          <w:numId w:val="2"/>
        </w:numPr>
        <w:spacing w:after="60" w:before="40"/>
      </w:pPr>
      <w:r>
        <w:rPr>
          <w:rFonts w:ascii="Arial" w:cs="Arial" w:eastAsia="Arial" w:hAnsi="Arial"/>
          <w:color w:val="333333"/>
          <w:sz w:val="20"/>
          <w:szCs w:val="20"/>
        </w:rPr>
        <w:t xml:space="preserve">Planilhas não servem T2, T3 ou T4: regras de negócio, processos e comparações de versão não existem em planilhas. Queries desses tipos não devem ser roteadas para o índice de planilhas.</w:t>
      </w:r>
    </w:p>
    <w:p>
      <w:pPr>
        <w:spacing w:after="60" w:before="0"/>
      </w:pPr>
    </w:p>
    <w:p>
      <w:pPr>
        <w:pStyle w:val="Heading3"/>
        <w:spacing w:after="80" w:before="200"/>
      </w:pPr>
      <w:r>
        <w:rPr>
          <w:rFonts w:ascii="Arial" w:cs="Arial" w:eastAsia="Arial" w:hAnsi="Arial"/>
          <w:b/>
          <w:bCs/>
          <w:color w:val="1E3A5F"/>
          <w:sz w:val="22"/>
          <w:szCs w:val="22"/>
        </w:rPr>
        <w:t xml:space="preserve">PDFs de Política e Compliance → Serve principalmente T2 e T4</w:t>
      </w:r>
    </w:p>
    <w:p>
      <w:pPr>
        <w:pStyle w:val="ListParagraph"/>
        <w:numPr>
          <w:ilvl w:val="0"/>
          <w:numId w:val="2"/>
        </w:numPr>
        <w:spacing w:after="60" w:before="40"/>
      </w:pPr>
      <w:r>
        <w:rPr>
          <w:rFonts w:ascii="Arial" w:cs="Arial" w:eastAsia="Arial" w:hAnsi="Arial"/>
          <w:color w:val="333333"/>
          <w:sz w:val="20"/>
          <w:szCs w:val="20"/>
        </w:rPr>
        <w:t xml:space="preserve">Parent-child por cláusula: child (~100–150 tokens) captura a cláusula; parent (~600 tokens) inclui o parágrafo da cláusula + os 2 seguintes, garantindo que condições e exceções estejam sempre no contexto.</w:t>
      </w:r>
    </w:p>
    <w:p>
      <w:pPr>
        <w:pStyle w:val="ListParagraph"/>
        <w:numPr>
          <w:ilvl w:val="0"/>
          <w:numId w:val="2"/>
        </w:numPr>
        <w:spacing w:after="60" w:before="40"/>
      </w:pPr>
      <w:r>
        <w:rPr>
          <w:rFonts w:ascii="Arial" w:cs="Arial" w:eastAsia="Arial" w:hAnsi="Arial"/>
          <w:color w:val="333333"/>
          <w:sz w:val="20"/>
          <w:szCs w:val="20"/>
        </w:rPr>
        <w:t xml:space="preserve">PDFs tabulares (tarifas): a porção tabular de um mesmo PDF deve ser chunkeada como planilha (blocos de categoria), enquanto o texto narrativo segue o modelo parent-child. Um mesmo PDF pode ter duas estratégias de chunking.</w:t>
      </w:r>
    </w:p>
    <w:p>
      <w:pPr>
        <w:pStyle w:val="ListParagraph"/>
        <w:numPr>
          <w:ilvl w:val="0"/>
          <w:numId w:val="2"/>
        </w:numPr>
        <w:spacing w:after="60" w:before="40"/>
      </w:pPr>
      <w:r>
        <w:rPr>
          <w:rFonts w:ascii="Arial" w:cs="Arial" w:eastAsia="Arial" w:hAnsi="Arial"/>
          <w:color w:val="333333"/>
          <w:sz w:val="20"/>
          <w:szCs w:val="20"/>
        </w:rPr>
        <w:t xml:space="preserve">Para T4: versões anteriores dos documentos ficam no índice com archived=true. O pipeline de atualização incrementa a versão — nunca substitui e deleta todas as versões anteriores para documentos de política.</w:t>
      </w:r>
    </w:p>
    <w:p>
      <w:pPr>
        <w:spacing w:after="60" w:before="0"/>
      </w:pPr>
    </w:p>
    <w:p>
      <w:pPr>
        <w:pStyle w:val="Heading3"/>
        <w:spacing w:after="80" w:before="200"/>
      </w:pPr>
      <w:r>
        <w:rPr>
          <w:rFonts w:ascii="Arial" w:cs="Arial" w:eastAsia="Arial" w:hAnsi="Arial"/>
          <w:b/>
          <w:bCs/>
          <w:color w:val="1E3A5F"/>
          <w:sz w:val="22"/>
          <w:szCs w:val="22"/>
        </w:rPr>
        <w:t xml:space="preserve">Wiki Confluence → Serve principalmente T3 e T2</w:t>
      </w:r>
    </w:p>
    <w:p>
      <w:pPr>
        <w:pStyle w:val="ListParagraph"/>
        <w:numPr>
          <w:ilvl w:val="0"/>
          <w:numId w:val="2"/>
        </w:numPr>
        <w:spacing w:after="60" w:before="40"/>
      </w:pPr>
      <w:r>
        <w:rPr>
          <w:rFonts w:ascii="Arial" w:cs="Arial" w:eastAsia="Arial" w:hAnsi="Arial"/>
          <w:color w:val="333333"/>
          <w:sz w:val="20"/>
          <w:szCs w:val="20"/>
        </w:rPr>
        <w:t xml:space="preserve">Chunking com encadeamento obrigatório para T3: cada heading (H2, H3) gera um chunk com step_index e next_chunk_id. Isso transforma a wiki em um grafo navegável — o retriever segue o grafo em vez de depender da busca vetorial para recuperar cada etapa individualmente.</w:t>
      </w:r>
    </w:p>
    <w:p>
      <w:pPr>
        <w:pStyle w:val="ListParagraph"/>
        <w:numPr>
          <w:ilvl w:val="0"/>
          <w:numId w:val="2"/>
        </w:numPr>
        <w:spacing w:after="60" w:before="40"/>
      </w:pPr>
      <w:r>
        <w:rPr>
          <w:rFonts w:ascii="Arial" w:cs="Arial" w:eastAsia="Arial" w:hAnsi="Arial"/>
          <w:color w:val="333333"/>
          <w:sz w:val="20"/>
          <w:szCs w:val="20"/>
        </w:rPr>
        <w:t xml:space="preserve">Injeção no prompt para T3 sempre como bloco contíguo ordenado: nunca intercalar chunks de processo com chunks de outras fontes no contexto do LLM.</w:t>
      </w:r>
    </w:p>
    <w:p>
      <w:pPr>
        <w:pStyle w:val="ListParagraph"/>
        <w:numPr>
          <w:ilvl w:val="0"/>
          <w:numId w:val="2"/>
        </w:numPr>
        <w:spacing w:after="60" w:before="40"/>
      </w:pPr>
      <w:r>
        <w:rPr>
          <w:rFonts w:ascii="Arial" w:cs="Arial" w:eastAsia="Arial" w:hAnsi="Arial"/>
          <w:color w:val="333333"/>
          <w:sz w:val="20"/>
          <w:szCs w:val="20"/>
        </w:rPr>
        <w:t xml:space="preserve">Páginas de FAQ e política: chunkeadas como parent-child (igual aos PDFs de política), sem step_index.</w:t>
      </w:r>
    </w:p>
    <w:p>
      <w:pPr>
        <w:spacing w:after="100" w:before="0"/>
      </w:pPr>
    </w:p>
    <w:p>
      <w:pPr>
        <w:pStyle w:val="Heading2"/>
        <w:spacing w:after="100" w:before="280"/>
      </w:pPr>
      <w:r>
        <w:rPr>
          <w:rFonts w:ascii="Arial" w:cs="Arial" w:eastAsia="Arial" w:hAnsi="Arial"/>
          <w:b/>
          <w:bCs/>
          <w:color w:val="2E6DA4"/>
          <w:sz w:val="24"/>
          <w:szCs w:val="24"/>
        </w:rPr>
        <w:t xml:space="preserve">3.7  Pipeline de Retrieval Unificado por Tipo de Query</w:t>
      </w:r>
    </w:p>
    <w:p>
      <w:pPr>
        <w:spacing w:after="100" w:before="60"/>
      </w:pPr>
      <w:r>
        <w:rPr>
          <w:rFonts w:ascii="Arial" w:cs="Arial" w:eastAsia="Arial" w:hAnsi="Arial"/>
          <w:color w:val="333333"/>
          <w:sz w:val="20"/>
          <w:szCs w:val="20"/>
        </w:rPr>
        <w:t xml:space="preserve">O pipeline completo é uma sequência de decisões condicionais ao tipo de query. A classificação (etapa 1) determina o comportamento de todas as etapas seguintes: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6900"/>
      </w:tblGrid>
      <w:tr>
        <w:tc>
          <w:tcPr>
            <w:tcW w:type="dxa" w:w="560"/>
            <w:tcBorders>
              <w:top w:val="none" w:color="FFFFFF" w:sz="0"/>
              <w:left w:val="none" w:color="FFFFFF" w:sz="0"/>
              <w:bottom w:val="none" w:color="FFFFFF" w:sz="0"/>
              <w:right w:val="none" w:color="FFFFFF" w:sz="0"/>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1900"/>
            <w:tcBorders>
              <w:top w:val="none" w:color="FFFFFF" w:sz="0"/>
              <w:left w:val="none" w:color="FFFFFF" w:sz="0"/>
              <w:bottom w:val="none" w:color="FFFFFF" w:sz="0"/>
              <w:right w:val="none" w:color="FFFFFF" w:sz="0"/>
            </w:tcBorders>
            <w:shd w:fill="1E3A5F" w:val="clear"/>
            <w:tcMar>
              <w:top w:type="dxa" w:w="80"/>
              <w:left w:type="dxa" w:w="140"/>
              <w:bottom w:type="dxa" w:w="80"/>
              <w:right w:type="dxa" w:w="80"/>
            </w:tcMar>
          </w:tcPr>
          <w:p>
            <w:r>
              <w:rPr>
                <w:rFonts w:ascii="Arial" w:cs="Arial" w:eastAsia="Arial" w:hAnsi="Arial"/>
                <w:b/>
                <w:bCs/>
                <w:color w:val="FFFFFF"/>
                <w:sz w:val="18"/>
                <w:szCs w:val="18"/>
              </w:rPr>
              <w:t xml:space="preserve">Etapa</w:t>
            </w:r>
          </w:p>
        </w:tc>
        <w:tc>
          <w:tcPr>
            <w:tcW w:type="dxa" w:w="6900"/>
            <w:tcBorders>
              <w:top w:val="none" w:color="FFFFFF" w:sz="0"/>
              <w:left w:val="none" w:color="FFFFFF" w:sz="0"/>
              <w:bottom w:val="none" w:color="FFFFFF" w:sz="0"/>
              <w:right w:val="none" w:color="FFFFFF" w:sz="0"/>
            </w:tcBorders>
            <w:shd w:fill="1E3A5F" w:val="clear"/>
            <w:tcMar>
              <w:top w:type="dxa" w:w="80"/>
              <w:left w:type="dxa" w:w="140"/>
              <w:bottom w:type="dxa" w:w="80"/>
              <w:right w:type="dxa" w:w="120"/>
            </w:tcMar>
          </w:tcPr>
          <w:p>
            <w:r>
              <w:rPr>
                <w:rFonts w:ascii="Arial" w:cs="Arial" w:eastAsia="Arial" w:hAnsi="Arial"/>
                <w:b/>
                <w:bCs/>
                <w:color w:val="FFFFFF"/>
                <w:sz w:val="18"/>
                <w:szCs w:val="18"/>
              </w:rPr>
              <w:t xml:space="preserve">Detalhe por Tipo de Query</w:t>
            </w:r>
          </w:p>
        </w:tc>
      </w:tr>
      <w:tr>
        <w:tc>
          <w:tcPr>
            <w:tcW w:type="dxa" w:w="560"/>
            <w:tcBorders>
              <w:top w:val="none" w:color="FFFFFF" w:sz="0"/>
              <w:left w:val="none" w:color="FFFFFF" w:sz="0"/>
              <w:bottom w:val="none" w:color="FFFFFF" w:sz="0"/>
              <w:right w:val="none" w:color="FFFFFF" w:sz="0"/>
            </w:tcBorders>
            <w:shd w:fill="0E6655" w:val="clear"/>
            <w:tcMar>
              <w:top w:type="dxa" w:w="100"/>
              <w:left w:type="dxa" w:w="120"/>
              <w:bottom w:type="dxa" w:w="100"/>
              <w:right w:type="dxa" w:w="80"/>
            </w:tcMar>
          </w:tcPr>
          <w:p>
            <w:pPr>
              <w:jc w:val="center"/>
            </w:pPr>
            <w:r>
              <w:rPr>
                <w:rFonts w:ascii="Arial" w:cs="Arial" w:eastAsia="Arial" w:hAnsi="Arial"/>
                <w:b/>
                <w:bCs/>
                <w:color w:val="FFFFFF"/>
                <w:sz w:val="22"/>
                <w:szCs w:val="22"/>
              </w:rPr>
              <w:t xml:space="preserve">1</w:t>
            </w:r>
          </w:p>
        </w:tc>
        <w:tc>
          <w:tcPr>
            <w:tcW w:type="dxa" w:w="1900"/>
            <w:tcBorders>
              <w:top w:val="none" w:color="FFFFFF" w:sz="0"/>
              <w:left w:val="none" w:color="FFFFFF" w:sz="0"/>
              <w:bottom w:val="none" w:color="FFFFFF" w:sz="0"/>
              <w:right w:val="none" w:color="FFFFFF" w:sz="0"/>
            </w:tcBorders>
            <w:shd w:fill="FFFFFF" w:val="clear"/>
            <w:tcMar>
              <w:top w:type="dxa" w:w="100"/>
              <w:left w:type="dxa" w:w="140"/>
              <w:bottom w:type="dxa" w:w="100"/>
              <w:right w:type="dxa" w:w="80"/>
            </w:tcMar>
          </w:tcPr>
          <w:p>
            <w:r>
              <w:rPr>
                <w:rFonts w:ascii="Arial" w:cs="Arial" w:eastAsia="Arial" w:hAnsi="Arial"/>
                <w:b/>
                <w:bCs/>
                <w:color w:val="333333"/>
                <w:sz w:val="19"/>
                <w:szCs w:val="19"/>
              </w:rPr>
              <w:t xml:space="preserve">Classificação da Query</w:t>
            </w:r>
          </w:p>
        </w:tc>
        <w:tc>
          <w:tcPr>
            <w:tcW w:type="dxa" w:w="6900"/>
            <w:tcBorders>
              <w:top w:val="none" w:color="FFFFFF" w:sz="0"/>
              <w:left w:val="none" w:color="FFFFFF" w:sz="0"/>
              <w:bottom w:val="none" w:color="FFFFFF" w:sz="0"/>
              <w:right w:val="none" w:color="FFFFFF" w:sz="0"/>
            </w:tcBorders>
            <w:shd w:fill="FFFFFF" w:val="clear"/>
            <w:tcMar>
              <w:top w:type="dxa" w:w="100"/>
              <w:left w:type="dxa" w:w="140"/>
              <w:bottom w:type="dxa" w:w="100"/>
              <w:right w:type="dxa" w:w="120"/>
            </w:tcMar>
          </w:tcPr>
          <w:p>
            <w:r>
              <w:rPr>
                <w:rFonts w:ascii="Arial" w:cs="Arial" w:eastAsia="Arial" w:hAnsi="Arial"/>
                <w:color w:val="333333"/>
                <w:sz w:val="19"/>
                <w:szCs w:val="19"/>
              </w:rPr>
              <w:t xml:space="preserve">Query do atendente → classificador (heurística MVP ou LLM leve) → tipo {T1, T2, T3, T4}. Define o caminho de execução de todas as etapas seguintes.</w:t>
            </w:r>
          </w:p>
        </w:tc>
      </w:tr>
      <w:tr>
        <w:tc>
          <w:tcPr>
            <w:tcW w:type="dxa" w:w="560"/>
            <w:tcBorders>
              <w:top w:val="none" w:color="FFFFFF" w:sz="0"/>
              <w:left w:val="none" w:color="FFFFFF" w:sz="0"/>
              <w:bottom w:val="none" w:color="FFFFFF" w:sz="0"/>
              <w:right w:val="none" w:color="FFFFFF" w:sz="0"/>
            </w:tcBorders>
            <w:shd w:fill="2E6DA4" w:val="clear"/>
            <w:tcMar>
              <w:top w:type="dxa" w:w="100"/>
              <w:left w:type="dxa" w:w="120"/>
              <w:bottom w:type="dxa" w:w="100"/>
              <w:right w:type="dxa" w:w="80"/>
            </w:tcMar>
          </w:tcPr>
          <w:p>
            <w:pPr>
              <w:jc w:val="center"/>
            </w:pPr>
            <w:r>
              <w:rPr>
                <w:rFonts w:ascii="Arial" w:cs="Arial" w:eastAsia="Arial" w:hAnsi="Arial"/>
                <w:b/>
                <w:bCs/>
                <w:color w:val="FFFFFF"/>
                <w:sz w:val="22"/>
                <w:szCs w:val="22"/>
              </w:rPr>
              <w:t xml:space="preserve">2</w:t>
            </w:r>
          </w:p>
        </w:tc>
        <w:tc>
          <w:tcPr>
            <w:tcW w:type="dxa" w:w="1900"/>
            <w:tcBorders>
              <w:top w:val="none" w:color="FFFFFF" w:sz="0"/>
              <w:left w:val="none" w:color="FFFFFF" w:sz="0"/>
              <w:bottom w:val="none" w:color="FFFFFF" w:sz="0"/>
              <w:right w:val="none" w:color="FFFFFF" w:sz="0"/>
            </w:tcBorders>
            <w:shd w:fill="F5F7FA" w:val="clear"/>
            <w:tcMar>
              <w:top w:type="dxa" w:w="100"/>
              <w:left w:type="dxa" w:w="140"/>
              <w:bottom w:type="dxa" w:w="100"/>
              <w:right w:type="dxa" w:w="80"/>
            </w:tcMar>
          </w:tcPr>
          <w:p>
            <w:r>
              <w:rPr>
                <w:rFonts w:ascii="Arial" w:cs="Arial" w:eastAsia="Arial" w:hAnsi="Arial"/>
                <w:b/>
                <w:bCs/>
                <w:color w:val="333333"/>
                <w:sz w:val="19"/>
                <w:szCs w:val="19"/>
              </w:rPr>
              <w:t xml:space="preserve">Pré-processamento</w:t>
            </w:r>
          </w:p>
        </w:tc>
        <w:tc>
          <w:tcPr>
            <w:tcW w:type="dxa" w:w="6900"/>
            <w:tcBorders>
              <w:top w:val="none" w:color="FFFFFF" w:sz="0"/>
              <w:left w:val="none" w:color="FFFFFF" w:sz="0"/>
              <w:bottom w:val="none" w:color="FFFFFF" w:sz="0"/>
              <w:right w:val="none" w:color="FFFFFF" w:sz="0"/>
            </w:tcBorders>
            <w:shd w:fill="F5F7FA" w:val="clear"/>
            <w:tcMar>
              <w:top w:type="dxa" w:w="100"/>
              <w:left w:type="dxa" w:w="140"/>
              <w:bottom w:type="dxa" w:w="100"/>
              <w:right w:type="dxa" w:w="120"/>
            </w:tcMar>
          </w:tcPr>
          <w:p>
            <w:r>
              <w:rPr>
                <w:rFonts w:ascii="Arial" w:cs="Arial" w:eastAsia="Arial" w:hAnsi="Arial"/>
                <w:color w:val="333333"/>
                <w:sz w:val="19"/>
                <w:szCs w:val="19"/>
              </w:rPr>
              <w:t xml:space="preserve">Expandir jargão logístico (CTE, romaneio, CTe). T1: extrair entidades estruturadas (região, peso, tipo de carga) e converter para filtros de metadado. T4: extrair período de tempo mencionado para filtrar versões.</w:t>
            </w:r>
          </w:p>
        </w:tc>
      </w:tr>
      <w:tr>
        <w:tc>
          <w:tcPr>
            <w:tcW w:type="dxa" w:w="560"/>
            <w:tcBorders>
              <w:top w:val="none" w:color="FFFFFF" w:sz="0"/>
              <w:left w:val="none" w:color="FFFFFF" w:sz="0"/>
              <w:bottom w:val="none" w:color="FFFFFF" w:sz="0"/>
              <w:right w:val="none" w:color="FFFFFF" w:sz="0"/>
            </w:tcBorders>
            <w:shd w:fill="2E6DA4" w:val="clear"/>
            <w:tcMar>
              <w:top w:type="dxa" w:w="100"/>
              <w:left w:type="dxa" w:w="120"/>
              <w:bottom w:type="dxa" w:w="100"/>
              <w:right w:type="dxa" w:w="80"/>
            </w:tcMar>
          </w:tcPr>
          <w:p>
            <w:pPr>
              <w:jc w:val="center"/>
            </w:pPr>
            <w:r>
              <w:rPr>
                <w:rFonts w:ascii="Arial" w:cs="Arial" w:eastAsia="Arial" w:hAnsi="Arial"/>
                <w:b/>
                <w:bCs/>
                <w:color w:val="FFFFFF"/>
                <w:sz w:val="22"/>
                <w:szCs w:val="22"/>
              </w:rPr>
              <w:t xml:space="preserve">3</w:t>
            </w:r>
          </w:p>
        </w:tc>
        <w:tc>
          <w:tcPr>
            <w:tcW w:type="dxa" w:w="1900"/>
            <w:tcBorders>
              <w:top w:val="none" w:color="FFFFFF" w:sz="0"/>
              <w:left w:val="none" w:color="FFFFFF" w:sz="0"/>
              <w:bottom w:val="none" w:color="FFFFFF" w:sz="0"/>
              <w:right w:val="none" w:color="FFFFFF" w:sz="0"/>
            </w:tcBorders>
            <w:shd w:fill="FFFFFF" w:val="clear"/>
            <w:tcMar>
              <w:top w:type="dxa" w:w="100"/>
              <w:left w:type="dxa" w:w="140"/>
              <w:bottom w:type="dxa" w:w="100"/>
              <w:right w:type="dxa" w:w="80"/>
            </w:tcMar>
          </w:tcPr>
          <w:p>
            <w:r>
              <w:rPr>
                <w:rFonts w:ascii="Arial" w:cs="Arial" w:eastAsia="Arial" w:hAnsi="Arial"/>
                <w:b/>
                <w:bCs/>
                <w:color w:val="333333"/>
                <w:sz w:val="19"/>
                <w:szCs w:val="19"/>
              </w:rPr>
              <w:t xml:space="preserve">Embedding da Query</w:t>
            </w:r>
          </w:p>
        </w:tc>
        <w:tc>
          <w:tcPr>
            <w:tcW w:type="dxa" w:w="6900"/>
            <w:tcBorders>
              <w:top w:val="none" w:color="FFFFFF" w:sz="0"/>
              <w:left w:val="none" w:color="FFFFFF" w:sz="0"/>
              <w:bottom w:val="none" w:color="FFFFFF" w:sz="0"/>
              <w:right w:val="none" w:color="FFFFFF" w:sz="0"/>
            </w:tcBorders>
            <w:shd w:fill="FFFFFF" w:val="clear"/>
            <w:tcMar>
              <w:top w:type="dxa" w:w="100"/>
              <w:left w:type="dxa" w:w="140"/>
              <w:bottom w:type="dxa" w:w="100"/>
              <w:right w:type="dxa" w:w="120"/>
            </w:tcMar>
          </w:tcPr>
          <w:p>
            <w:r>
              <w:rPr>
                <w:rFonts w:ascii="Arial" w:cs="Arial" w:eastAsia="Arial" w:hAnsi="Arial"/>
                <w:color w:val="333333"/>
                <w:sz w:val="19"/>
                <w:szCs w:val="19"/>
              </w:rPr>
              <w:t xml:space="preserve">Gerar embedding com text-embedding-3-large. Para T1: o embedding complementa os filtros de metadado, não os substitui. Para T2/T3/T4: o embedding é o mecanismo principal de busca.</w:t>
            </w:r>
          </w:p>
        </w:tc>
      </w:tr>
      <w:tr>
        <w:tc>
          <w:tcPr>
            <w:tcW w:type="dxa" w:w="560"/>
            <w:tcBorders>
              <w:top w:val="none" w:color="FFFFFF" w:sz="0"/>
              <w:left w:val="none" w:color="FFFFFF" w:sz="0"/>
              <w:bottom w:val="none" w:color="FFFFFF" w:sz="0"/>
              <w:right w:val="none" w:color="FFFFFF" w:sz="0"/>
            </w:tcBorders>
            <w:shd w:fill="6C3483" w:val="clear"/>
            <w:tcMar>
              <w:top w:type="dxa" w:w="100"/>
              <w:left w:type="dxa" w:w="120"/>
              <w:bottom w:type="dxa" w:w="100"/>
              <w:right w:type="dxa" w:w="80"/>
            </w:tcMar>
          </w:tcPr>
          <w:p>
            <w:pPr>
              <w:jc w:val="center"/>
            </w:pPr>
            <w:r>
              <w:rPr>
                <w:rFonts w:ascii="Arial" w:cs="Arial" w:eastAsia="Arial" w:hAnsi="Arial"/>
                <w:b/>
                <w:bCs/>
                <w:color w:val="FFFFFF"/>
                <w:sz w:val="22"/>
                <w:szCs w:val="22"/>
              </w:rPr>
              <w:t xml:space="preserve">4</w:t>
            </w:r>
          </w:p>
        </w:tc>
        <w:tc>
          <w:tcPr>
            <w:tcW w:type="dxa" w:w="1900"/>
            <w:tcBorders>
              <w:top w:val="none" w:color="FFFFFF" w:sz="0"/>
              <w:left w:val="none" w:color="FFFFFF" w:sz="0"/>
              <w:bottom w:val="none" w:color="FFFFFF" w:sz="0"/>
              <w:right w:val="none" w:color="FFFFFF" w:sz="0"/>
            </w:tcBorders>
            <w:shd w:fill="F5F7FA" w:val="clear"/>
            <w:tcMar>
              <w:top w:type="dxa" w:w="100"/>
              <w:left w:type="dxa" w:w="140"/>
              <w:bottom w:type="dxa" w:w="100"/>
              <w:right w:type="dxa" w:w="80"/>
            </w:tcMar>
          </w:tcPr>
          <w:p>
            <w:r>
              <w:rPr>
                <w:rFonts w:ascii="Arial" w:cs="Arial" w:eastAsia="Arial" w:hAnsi="Arial"/>
                <w:b/>
                <w:bCs/>
                <w:color w:val="333333"/>
                <w:sz w:val="19"/>
                <w:szCs w:val="19"/>
              </w:rPr>
              <w:t xml:space="preserve">Busca no Índice</w:t>
            </w:r>
          </w:p>
        </w:tc>
        <w:tc>
          <w:tcPr>
            <w:tcW w:type="dxa" w:w="6900"/>
            <w:tcBorders>
              <w:top w:val="none" w:color="FFFFFF" w:sz="0"/>
              <w:left w:val="none" w:color="FFFFFF" w:sz="0"/>
              <w:bottom w:val="none" w:color="FFFFFF" w:sz="0"/>
              <w:right w:val="none" w:color="FFFFFF" w:sz="0"/>
            </w:tcBorders>
            <w:shd w:fill="F5F7FA" w:val="clear"/>
            <w:tcMar>
              <w:top w:type="dxa" w:w="100"/>
              <w:left w:type="dxa" w:w="140"/>
              <w:bottom w:type="dxa" w:w="100"/>
              <w:right w:type="dxa" w:w="120"/>
            </w:tcMar>
          </w:tcPr>
          <w:p>
            <w:r>
              <w:rPr>
                <w:rFonts w:ascii="Arial" w:cs="Arial" w:eastAsia="Arial" w:hAnsi="Arial"/>
                <w:color w:val="333333"/>
                <w:sz w:val="19"/>
                <w:szCs w:val="19"/>
              </w:rPr>
              <w:t xml:space="preserve">T1: filtros de metadado → BM25 70%/Vetorial 30% → top-20. T2: Vetorial 70%/BM25 30% → top-20. T3: Vetorial → top-5 chunks iniciais + grafo next_chunk_id para etapas seguintes. T4: Vetorial + filtro multi-versão → top-10 com diversidade de fonte forçada.</w:t>
            </w:r>
          </w:p>
        </w:tc>
      </w:tr>
      <w:tr>
        <w:tc>
          <w:tcPr>
            <w:tcW w:type="dxa" w:w="560"/>
            <w:tcBorders>
              <w:top w:val="none" w:color="FFFFFF" w:sz="0"/>
              <w:left w:val="none" w:color="FFFFFF" w:sz="0"/>
              <w:bottom w:val="none" w:color="FFFFFF" w:sz="0"/>
              <w:right w:val="none" w:color="FFFFFF" w:sz="0"/>
            </w:tcBorders>
            <w:shd w:fill="6C3483" w:val="clear"/>
            <w:tcMar>
              <w:top w:type="dxa" w:w="100"/>
              <w:left w:type="dxa" w:w="120"/>
              <w:bottom w:type="dxa" w:w="100"/>
              <w:right w:type="dxa" w:w="80"/>
            </w:tcMar>
          </w:tcPr>
          <w:p>
            <w:pPr>
              <w:jc w:val="center"/>
            </w:pPr>
            <w:r>
              <w:rPr>
                <w:rFonts w:ascii="Arial" w:cs="Arial" w:eastAsia="Arial" w:hAnsi="Arial"/>
                <w:b/>
                <w:bCs/>
                <w:color w:val="FFFFFF"/>
                <w:sz w:val="22"/>
                <w:szCs w:val="22"/>
              </w:rPr>
              <w:t xml:space="preserve">5</w:t>
            </w:r>
          </w:p>
        </w:tc>
        <w:tc>
          <w:tcPr>
            <w:tcW w:type="dxa" w:w="1900"/>
            <w:tcBorders>
              <w:top w:val="none" w:color="FFFFFF" w:sz="0"/>
              <w:left w:val="none" w:color="FFFFFF" w:sz="0"/>
              <w:bottom w:val="none" w:color="FFFFFF" w:sz="0"/>
              <w:right w:val="none" w:color="FFFFFF" w:sz="0"/>
            </w:tcBorders>
            <w:shd w:fill="FFFFFF" w:val="clear"/>
            <w:tcMar>
              <w:top w:type="dxa" w:w="100"/>
              <w:left w:type="dxa" w:w="140"/>
              <w:bottom w:type="dxa" w:w="100"/>
              <w:right w:type="dxa" w:w="80"/>
            </w:tcMar>
          </w:tcPr>
          <w:p>
            <w:r>
              <w:rPr>
                <w:rFonts w:ascii="Arial" w:cs="Arial" w:eastAsia="Arial" w:hAnsi="Arial"/>
                <w:b/>
                <w:bCs/>
                <w:color w:val="333333"/>
                <w:sz w:val="19"/>
                <w:szCs w:val="19"/>
              </w:rPr>
              <w:t xml:space="preserve">Reranking</w:t>
            </w:r>
          </w:p>
        </w:tc>
        <w:tc>
          <w:tcPr>
            <w:tcW w:type="dxa" w:w="6900"/>
            <w:tcBorders>
              <w:top w:val="none" w:color="FFFFFF" w:sz="0"/>
              <w:left w:val="none" w:color="FFFFFF" w:sz="0"/>
              <w:bottom w:val="none" w:color="FFFFFF" w:sz="0"/>
              <w:right w:val="none" w:color="FFFFFF" w:sz="0"/>
            </w:tcBorders>
            <w:shd w:fill="FFFFFF" w:val="clear"/>
            <w:tcMar>
              <w:top w:type="dxa" w:w="100"/>
              <w:left w:type="dxa" w:w="140"/>
              <w:bottom w:type="dxa" w:w="100"/>
              <w:right w:type="dxa" w:w="120"/>
            </w:tcMar>
          </w:tcPr>
          <w:p>
            <w:r>
              <w:rPr>
                <w:rFonts w:ascii="Arial" w:cs="Arial" w:eastAsia="Arial" w:hAnsi="Arial"/>
                <w:color w:val="333333"/>
                <w:sz w:val="19"/>
                <w:szCs w:val="19"/>
              </w:rPr>
              <w:t xml:space="preserve">T1 e T2: Azure Semantic Ranker (reordena por relevância ao valor/condição buscados). T3: NÃO aplicar reranking — preservar a ordem sequencial dos chunks de processo. T4: reranker com penalização de chunks da mesma fonte (forçar diversidade de versões).</w:t>
            </w:r>
          </w:p>
        </w:tc>
      </w:tr>
      <w:tr>
        <w:tc>
          <w:tcPr>
            <w:tcW w:type="dxa" w:w="560"/>
            <w:tcBorders>
              <w:top w:val="none" w:color="FFFFFF" w:sz="0"/>
              <w:left w:val="none" w:color="FFFFFF" w:sz="0"/>
              <w:bottom w:val="none" w:color="FFFFFF" w:sz="0"/>
              <w:right w:val="none" w:color="FFFFFF" w:sz="0"/>
            </w:tcBorders>
            <w:shd w:fill="E8A020" w:val="clear"/>
            <w:tcMar>
              <w:top w:type="dxa" w:w="100"/>
              <w:left w:type="dxa" w:w="120"/>
              <w:bottom w:type="dxa" w:w="100"/>
              <w:right w:type="dxa" w:w="80"/>
            </w:tcMar>
          </w:tcPr>
          <w:p>
            <w:pPr>
              <w:jc w:val="center"/>
            </w:pPr>
            <w:r>
              <w:rPr>
                <w:rFonts w:ascii="Arial" w:cs="Arial" w:eastAsia="Arial" w:hAnsi="Arial"/>
                <w:b/>
                <w:bCs/>
                <w:color w:val="FFFFFF"/>
                <w:sz w:val="22"/>
                <w:szCs w:val="22"/>
              </w:rPr>
              <w:t xml:space="preserve">6</w:t>
            </w:r>
          </w:p>
        </w:tc>
        <w:tc>
          <w:tcPr>
            <w:tcW w:type="dxa" w:w="1900"/>
            <w:tcBorders>
              <w:top w:val="none" w:color="FFFFFF" w:sz="0"/>
              <w:left w:val="none" w:color="FFFFFF" w:sz="0"/>
              <w:bottom w:val="none" w:color="FFFFFF" w:sz="0"/>
              <w:right w:val="none" w:color="FFFFFF" w:sz="0"/>
            </w:tcBorders>
            <w:shd w:fill="F5F7FA" w:val="clear"/>
            <w:tcMar>
              <w:top w:type="dxa" w:w="100"/>
              <w:left w:type="dxa" w:w="140"/>
              <w:bottom w:type="dxa" w:w="100"/>
              <w:right w:type="dxa" w:w="80"/>
            </w:tcMar>
          </w:tcPr>
          <w:p>
            <w:r>
              <w:rPr>
                <w:rFonts w:ascii="Arial" w:cs="Arial" w:eastAsia="Arial" w:hAnsi="Arial"/>
                <w:b/>
                <w:bCs/>
                <w:color w:val="333333"/>
                <w:sz w:val="19"/>
                <w:szCs w:val="19"/>
              </w:rPr>
              <w:t xml:space="preserve">Verificação de Conflito</w:t>
            </w:r>
          </w:p>
        </w:tc>
        <w:tc>
          <w:tcPr>
            <w:tcW w:type="dxa" w:w="6900"/>
            <w:tcBorders>
              <w:top w:val="none" w:color="FFFFFF" w:sz="0"/>
              <w:left w:val="none" w:color="FFFFFF" w:sz="0"/>
              <w:bottom w:val="none" w:color="FFFFFF" w:sz="0"/>
              <w:right w:val="none" w:color="FFFFFF" w:sz="0"/>
            </w:tcBorders>
            <w:shd w:fill="F5F7FA" w:val="clear"/>
            <w:tcMar>
              <w:top w:type="dxa" w:w="100"/>
              <w:left w:type="dxa" w:w="140"/>
              <w:bottom w:type="dxa" w:w="100"/>
              <w:right w:type="dxa" w:w="120"/>
            </w:tcMar>
          </w:tcPr>
          <w:p>
            <w:r>
              <w:rPr>
                <w:rFonts w:ascii="Arial" w:cs="Arial" w:eastAsia="Arial" w:hAnsi="Arial"/>
                <w:color w:val="333333"/>
                <w:sz w:val="19"/>
                <w:szCs w:val="19"/>
              </w:rPr>
              <w:t xml:space="preserve">Checar se chunks do top-K têm datas/versões distintas sobre o mesmo tópico. T4: sempre ativa. T2: ativa quando há chunks de Compliance e Comercial sobre o mesmo assunto. T1/T3: raramente relevante.</w:t>
            </w:r>
          </w:p>
        </w:tc>
      </w:tr>
      <w:tr>
        <w:tc>
          <w:tcPr>
            <w:tcW w:type="dxa" w:w="560"/>
            <w:tcBorders>
              <w:top w:val="none" w:color="FFFFFF" w:sz="0"/>
              <w:left w:val="none" w:color="FFFFFF" w:sz="0"/>
              <w:bottom w:val="none" w:color="FFFFFF" w:sz="0"/>
              <w:right w:val="none" w:color="FFFFFF" w:sz="0"/>
            </w:tcBorders>
            <w:shd w:fill="0E6655" w:val="clear"/>
            <w:tcMar>
              <w:top w:type="dxa" w:w="100"/>
              <w:left w:type="dxa" w:w="120"/>
              <w:bottom w:type="dxa" w:w="100"/>
              <w:right w:type="dxa" w:w="80"/>
            </w:tcMar>
          </w:tcPr>
          <w:p>
            <w:pPr>
              <w:jc w:val="center"/>
            </w:pPr>
            <w:r>
              <w:rPr>
                <w:rFonts w:ascii="Arial" w:cs="Arial" w:eastAsia="Arial" w:hAnsi="Arial"/>
                <w:b/>
                <w:bCs/>
                <w:color w:val="FFFFFF"/>
                <w:sz w:val="22"/>
                <w:szCs w:val="22"/>
              </w:rPr>
              <w:t xml:space="preserve">7</w:t>
            </w:r>
          </w:p>
        </w:tc>
        <w:tc>
          <w:tcPr>
            <w:tcW w:type="dxa" w:w="1900"/>
            <w:tcBorders>
              <w:top w:val="none" w:color="FFFFFF" w:sz="0"/>
              <w:left w:val="none" w:color="FFFFFF" w:sz="0"/>
              <w:bottom w:val="none" w:color="FFFFFF" w:sz="0"/>
              <w:right w:val="none" w:color="FFFFFF" w:sz="0"/>
            </w:tcBorders>
            <w:shd w:fill="FFFFFF" w:val="clear"/>
            <w:tcMar>
              <w:top w:type="dxa" w:w="100"/>
              <w:left w:type="dxa" w:w="140"/>
              <w:bottom w:type="dxa" w:w="100"/>
              <w:right w:type="dxa" w:w="80"/>
            </w:tcMar>
          </w:tcPr>
          <w:p>
            <w:r>
              <w:rPr>
                <w:rFonts w:ascii="Arial" w:cs="Arial" w:eastAsia="Arial" w:hAnsi="Arial"/>
                <w:b/>
                <w:bCs/>
                <w:color w:val="333333"/>
                <w:sz w:val="19"/>
                <w:szCs w:val="19"/>
              </w:rPr>
              <w:t xml:space="preserve">Montagem do Prompt</w:t>
            </w:r>
          </w:p>
        </w:tc>
        <w:tc>
          <w:tcPr>
            <w:tcW w:type="dxa" w:w="6900"/>
            <w:tcBorders>
              <w:top w:val="none" w:color="FFFFFF" w:sz="0"/>
              <w:left w:val="none" w:color="FFFFFF" w:sz="0"/>
              <w:bottom w:val="none" w:color="FFFFFF" w:sz="0"/>
              <w:right w:val="none" w:color="FFFFFF" w:sz="0"/>
            </w:tcBorders>
            <w:shd w:fill="FFFFFF" w:val="clear"/>
            <w:tcMar>
              <w:top w:type="dxa" w:w="100"/>
              <w:left w:type="dxa" w:w="140"/>
              <w:bottom w:type="dxa" w:w="100"/>
              <w:right w:type="dxa" w:w="120"/>
            </w:tcMar>
          </w:tcPr>
          <w:p>
            <w:r>
              <w:rPr>
                <w:rFonts w:ascii="Arial" w:cs="Arial" w:eastAsia="Arial" w:hAnsi="Arial"/>
                <w:color w:val="333333"/>
                <w:sz w:val="19"/>
                <w:szCs w:val="19"/>
              </w:rPr>
              <w:t xml:space="preserve">T1: chunks no início do contexto (resposta direta) + instrução de precisão sem interpolação. T2: anti-Lost in the Middle (mais relevante no início e no fim). T3: bloco sequencial contíguo, nunca intercalado com outras fontes. T4: chunks agrupados por versão com datas explícitas + instrução de comparação.</w:t>
            </w:r>
          </w:p>
        </w:tc>
      </w:tr>
      <w:tr>
        <w:tc>
          <w:tcPr>
            <w:tcW w:type="dxa" w:w="560"/>
            <w:tcBorders>
              <w:top w:val="none" w:color="FFFFFF" w:sz="0"/>
              <w:left w:val="none" w:color="FFFFFF" w:sz="0"/>
              <w:bottom w:val="none" w:color="FFFFFF" w:sz="0"/>
              <w:right w:val="none" w:color="FFFFFF" w:sz="0"/>
            </w:tcBorders>
            <w:shd w:fill="0E6655" w:val="clear"/>
            <w:tcMar>
              <w:top w:type="dxa" w:w="100"/>
              <w:left w:type="dxa" w:w="120"/>
              <w:bottom w:type="dxa" w:w="100"/>
              <w:right w:type="dxa" w:w="80"/>
            </w:tcMar>
          </w:tcPr>
          <w:p>
            <w:pPr>
              <w:jc w:val="center"/>
            </w:pPr>
            <w:r>
              <w:rPr>
                <w:rFonts w:ascii="Arial" w:cs="Arial" w:eastAsia="Arial" w:hAnsi="Arial"/>
                <w:b/>
                <w:bCs/>
                <w:color w:val="FFFFFF"/>
                <w:sz w:val="22"/>
                <w:szCs w:val="22"/>
              </w:rPr>
              <w:t xml:space="preserve">8</w:t>
            </w:r>
          </w:p>
        </w:tc>
        <w:tc>
          <w:tcPr>
            <w:tcW w:type="dxa" w:w="1900"/>
            <w:tcBorders>
              <w:top w:val="none" w:color="FFFFFF" w:sz="0"/>
              <w:left w:val="none" w:color="FFFFFF" w:sz="0"/>
              <w:bottom w:val="none" w:color="FFFFFF" w:sz="0"/>
              <w:right w:val="none" w:color="FFFFFF" w:sz="0"/>
            </w:tcBorders>
            <w:shd w:fill="F5F7FA" w:val="clear"/>
            <w:tcMar>
              <w:top w:type="dxa" w:w="100"/>
              <w:left w:type="dxa" w:w="140"/>
              <w:bottom w:type="dxa" w:w="100"/>
              <w:right w:type="dxa" w:w="80"/>
            </w:tcMar>
          </w:tcPr>
          <w:p>
            <w:r>
              <w:rPr>
                <w:rFonts w:ascii="Arial" w:cs="Arial" w:eastAsia="Arial" w:hAnsi="Arial"/>
                <w:b/>
                <w:bCs/>
                <w:color w:val="333333"/>
                <w:sz w:val="19"/>
                <w:szCs w:val="19"/>
              </w:rPr>
              <w:t xml:space="preserve">Fallback e Transparência</w:t>
            </w:r>
          </w:p>
        </w:tc>
        <w:tc>
          <w:tcPr>
            <w:tcW w:type="dxa" w:w="6900"/>
            <w:tcBorders>
              <w:top w:val="none" w:color="FFFFFF" w:sz="0"/>
              <w:left w:val="none" w:color="FFFFFF" w:sz="0"/>
              <w:bottom w:val="none" w:color="FFFFFF" w:sz="0"/>
              <w:right w:val="none" w:color="FFFFFF" w:sz="0"/>
            </w:tcBorders>
            <w:shd w:fill="F5F7FA" w:val="clear"/>
            <w:tcMar>
              <w:top w:type="dxa" w:w="100"/>
              <w:left w:type="dxa" w:w="140"/>
              <w:bottom w:type="dxa" w:w="100"/>
              <w:right w:type="dxa" w:w="120"/>
            </w:tcMar>
          </w:tcPr>
          <w:p>
            <w:r>
              <w:rPr>
                <w:rFonts w:ascii="Arial" w:cs="Arial" w:eastAsia="Arial" w:hAnsi="Arial"/>
                <w:color w:val="333333"/>
                <w:sz w:val="19"/>
                <w:szCs w:val="19"/>
              </w:rPr>
              <w:t xml:space="preserve">System prompt inclui: 'Se os chunks não contiverem informação suficiente, responda: Não encontrei informação conclusiva na documentação. Recomendo escalar para [área X]. Nunca invente dados numéricos, prazos ou valores.'</w:t>
            </w:r>
          </w:p>
        </w:tc>
      </w:tr>
      <w:tr>
        <w:tc>
          <w:tcPr>
            <w:tcW w:type="dxa" w:w="560"/>
            <w:tcBorders>
              <w:top w:val="none" w:color="FFFFFF" w:sz="0"/>
              <w:left w:val="none" w:color="FFFFFF" w:sz="0"/>
              <w:bottom w:val="none" w:color="FFFFFF" w:sz="0"/>
              <w:right w:val="none" w:color="FFFFFF" w:sz="0"/>
            </w:tcBorders>
            <w:shd w:fill="1A5C2A" w:val="clear"/>
            <w:tcMar>
              <w:top w:type="dxa" w:w="100"/>
              <w:left w:type="dxa" w:w="120"/>
              <w:bottom w:type="dxa" w:w="100"/>
              <w:right w:type="dxa" w:w="80"/>
            </w:tcMar>
          </w:tcPr>
          <w:p>
            <w:pPr>
              <w:jc w:val="center"/>
            </w:pPr>
            <w:r>
              <w:rPr>
                <w:rFonts w:ascii="Arial" w:cs="Arial" w:eastAsia="Arial" w:hAnsi="Arial"/>
                <w:b/>
                <w:bCs/>
                <w:color w:val="FFFFFF"/>
                <w:sz w:val="22"/>
                <w:szCs w:val="22"/>
              </w:rPr>
              <w:t xml:space="preserve">9</w:t>
            </w:r>
          </w:p>
        </w:tc>
        <w:tc>
          <w:tcPr>
            <w:tcW w:type="dxa" w:w="1900"/>
            <w:tcBorders>
              <w:top w:val="none" w:color="FFFFFF" w:sz="0"/>
              <w:left w:val="none" w:color="FFFFFF" w:sz="0"/>
              <w:bottom w:val="none" w:color="FFFFFF" w:sz="0"/>
              <w:right w:val="none" w:color="FFFFFF" w:sz="0"/>
            </w:tcBorders>
            <w:shd w:fill="FFFFFF" w:val="clear"/>
            <w:tcMar>
              <w:top w:type="dxa" w:w="100"/>
              <w:left w:type="dxa" w:w="140"/>
              <w:bottom w:type="dxa" w:w="100"/>
              <w:right w:type="dxa" w:w="80"/>
            </w:tcMar>
          </w:tcPr>
          <w:p>
            <w:r>
              <w:rPr>
                <w:rFonts w:ascii="Arial" w:cs="Arial" w:eastAsia="Arial" w:hAnsi="Arial"/>
                <w:b/>
                <w:bCs/>
                <w:color w:val="333333"/>
                <w:sz w:val="19"/>
                <w:szCs w:val="19"/>
              </w:rPr>
              <w:t xml:space="preserve">Resposta + Citação</w:t>
            </w:r>
          </w:p>
        </w:tc>
        <w:tc>
          <w:tcPr>
            <w:tcW w:type="dxa" w:w="6900"/>
            <w:tcBorders>
              <w:top w:val="none" w:color="FFFFFF" w:sz="0"/>
              <w:left w:val="none" w:color="FFFFFF" w:sz="0"/>
              <w:bottom w:val="none" w:color="FFFFFF" w:sz="0"/>
              <w:right w:val="none" w:color="FFFFFF" w:sz="0"/>
            </w:tcBorders>
            <w:shd w:fill="FFFFFF" w:val="clear"/>
            <w:tcMar>
              <w:top w:type="dxa" w:w="100"/>
              <w:left w:type="dxa" w:w="140"/>
              <w:bottom w:type="dxa" w:w="100"/>
              <w:right w:type="dxa" w:w="120"/>
            </w:tcMar>
          </w:tcPr>
          <w:p>
            <w:r>
              <w:rPr>
                <w:rFonts w:ascii="Arial" w:cs="Arial" w:eastAsia="Arial" w:hAnsi="Arial"/>
                <w:color w:val="333333"/>
                <w:sz w:val="19"/>
                <w:szCs w:val="19"/>
              </w:rPr>
              <w:t xml:space="preserve">Toda resposta inclui: nome do documento, página/seção, data de última atualização. T4: ambas as versões citadas com datas. T3: lista de chunks de processo em ordem. Conflito detectado: ambas as fontes exibidas + recomendação de escalada.</w:t>
            </w:r>
          </w:p>
        </w:tc>
      </w:tr>
    </w:tbl>
    <w:p>
      <w:pPr>
        <w:spacing w:after="100" w:before="0"/>
      </w:pPr>
    </w:p>
    <w:p>
      <w:pPr>
        <w:pStyle w:val="Heading2"/>
        <w:spacing w:after="100" w:before="280"/>
      </w:pPr>
      <w:r>
        <w:rPr>
          <w:rFonts w:ascii="Arial" w:cs="Arial" w:eastAsia="Arial" w:hAnsi="Arial"/>
          <w:b/>
          <w:bCs/>
          <w:color w:val="2E6DA4"/>
          <w:sz w:val="24"/>
          <w:szCs w:val="24"/>
        </w:rPr>
        <w:t xml:space="preserve">3.8  Framework de Avaliação de Qualidade por Tipo de Query</w:t>
      </w:r>
    </w:p>
    <w:p>
      <w:pPr>
        <w:spacing w:after="100" w:before="60"/>
      </w:pPr>
      <w:r>
        <w:rPr>
          <w:rFonts w:ascii="Arial" w:cs="Arial" w:eastAsia="Arial" w:hAnsi="Arial"/>
          <w:color w:val="333333"/>
          <w:sz w:val="20"/>
          <w:szCs w:val="20"/>
        </w:rPr>
        <w:t xml:space="preserve">O golden dataset de avaliação deve ser estratificado por tipo de query. Um dataset sem essa estratificação pode mostrar métricas gerais satisfatórias enquanto falha completamente em T3 ou T4 sem que os números revelem isso.</w:t>
      </w:r>
    </w:p>
    <w:p>
      <w:pPr>
        <w:spacing w:after="60" w:before="0"/>
      </w:pPr>
    </w:p>
    <w:p>
      <w:pPr>
        <w:pStyle w:val="Heading3"/>
        <w:spacing w:after="80" w:before="200"/>
      </w:pPr>
      <w:r>
        <w:rPr>
          <w:rFonts w:ascii="Arial" w:cs="Arial" w:eastAsia="Arial" w:hAnsi="Arial"/>
          <w:b/>
          <w:bCs/>
          <w:color w:val="1E3A5F"/>
          <w:sz w:val="22"/>
          <w:szCs w:val="22"/>
        </w:rPr>
        <w:t xml:space="preserve">Composição do Golden Dataset (150–200 pares pergunta-resposta-fonte)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4360"/>
      </w:tblGrid>
      <w:tr>
        <w:tc>
          <w:tcPr>
            <w:tcW w:type="dxa" w:w="18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1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 Estimada</w:t>
            </w:r>
          </w:p>
        </w:tc>
        <w:tc>
          <w:tcPr>
            <w:tcW w:type="dxa" w:w="18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Queries no Dataset</w:t>
            </w:r>
          </w:p>
        </w:tc>
        <w:tc>
          <w:tcPr>
            <w:tcW w:type="dxa" w:w="43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Foco da Avaliação</w:t>
            </w:r>
          </w:p>
        </w:tc>
      </w:tr>
      <w:tr>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T1 · Lookup tabular</w:t>
            </w:r>
          </w:p>
        </w:tc>
        <w:tc>
          <w:tcPr>
            <w:tcW w:type="dxa" w:w="1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~45%</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~68 queries</w:t>
            </w:r>
          </w:p>
        </w:tc>
        <w:tc>
          <w:tcPr>
            <w:tcW w:type="dxa" w:w="4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Precision@1: a faixa correta é a primeira informação fornecida? Ausência de interpolação de valores não existentes na tabela.</w:t>
            </w:r>
          </w:p>
        </w:tc>
      </w:tr>
      <w:tr>
        <w:tc>
          <w:tcPr>
            <w:tcW w:type="dxa" w:w="18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T2 · Regra condicional</w:t>
            </w:r>
          </w:p>
        </w:tc>
        <w:tc>
          <w:tcPr>
            <w:tcW w:type="dxa" w:w="14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~30%</w:t>
            </w:r>
          </w:p>
        </w:tc>
        <w:tc>
          <w:tcPr>
            <w:tcW w:type="dxa" w:w="18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~45 queries</w:t>
            </w:r>
          </w:p>
        </w:tc>
        <w:tc>
          <w:tcPr>
            <w:tcW w:type="dxa" w:w="43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Faithfulness das condicionais; presença das exceções no contexto; ausência de omissão de condições de exceção.</w:t>
            </w:r>
          </w:p>
        </w:tc>
      </w:tr>
      <w:tr>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T3 · Processo/fluxo</w:t>
            </w:r>
          </w:p>
        </w:tc>
        <w:tc>
          <w:tcPr>
            <w:tcW w:type="dxa" w:w="1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~15%</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~22 queries</w:t>
            </w:r>
          </w:p>
        </w:tc>
        <w:tc>
          <w:tcPr>
            <w:tcW w:type="dxa" w:w="4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Step Completeness: % das etapas do processo na resposta em ordem correta. Uma resposta com 4 de 6 etapas na ordem errada tem Step Completeness ~50%.</w:t>
            </w:r>
          </w:p>
        </w:tc>
      </w:tr>
      <w:tr>
        <w:tc>
          <w:tcPr>
            <w:tcW w:type="dxa" w:w="18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T4 · Comparativa</w:t>
            </w:r>
          </w:p>
        </w:tc>
        <w:tc>
          <w:tcPr>
            <w:tcW w:type="dxa" w:w="14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~10%</w:t>
            </w:r>
          </w:p>
        </w:tc>
        <w:tc>
          <w:tcPr>
            <w:tcW w:type="dxa" w:w="18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~15 queries</w:t>
            </w:r>
          </w:p>
        </w:tc>
        <w:tc>
          <w:tcPr>
            <w:tcW w:type="dxa" w:w="43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Conflict Detection Rate: % das queries T4 em que o sistema corretamente identificou e sinalizou versões distintas.</w:t>
            </w:r>
          </w:p>
        </w:tc>
      </w:tr>
    </w:tbl>
    <w:p>
      <w:pPr>
        <w:spacing w:after="80" w:before="0"/>
      </w:pPr>
    </w:p>
    <w:p>
      <w:pPr>
        <w:pStyle w:val="Heading3"/>
        <w:spacing w:after="80" w:before="200"/>
      </w:pPr>
      <w:r>
        <w:rPr>
          <w:rFonts w:ascii="Arial" w:cs="Arial" w:eastAsia="Arial" w:hAnsi="Arial"/>
          <w:b/>
          <w:bCs/>
          <w:color w:val="1E3A5F"/>
          <w:sz w:val="22"/>
          <w:szCs w:val="22"/>
        </w:rPr>
        <w:t xml:space="preserve">Métricas por Tipo de Query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4160"/>
        <w:gridCol w:w="1800"/>
      </w:tblGrid>
      <w:tr>
        <w:tc>
          <w:tcPr>
            <w:tcW w:type="dxa" w:w="2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Métrica</w:t>
            </w:r>
          </w:p>
        </w:tc>
        <w:tc>
          <w:tcPr>
            <w:tcW w:type="dxa" w:w="8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41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Definição</w:t>
            </w:r>
          </w:p>
        </w:tc>
        <w:tc>
          <w:tcPr>
            <w:tcW w:type="dxa" w:w="18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Meta</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Context Recall</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Todos</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 das informações necessárias presentes nos chunks recuperados</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&gt; 80%</w:t>
            </w:r>
          </w:p>
        </w:tc>
      </w:tr>
      <w:tr>
        <w:tc>
          <w:tcPr>
            <w:tcW w:type="dxa" w:w="24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Context Precision</w:t>
            </w:r>
          </w:p>
        </w:tc>
        <w:tc>
          <w:tcPr>
            <w:tcW w:type="dxa" w:w="8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Todos</w:t>
            </w:r>
          </w:p>
        </w:tc>
        <w:tc>
          <w:tcPr>
            <w:tcW w:type="dxa" w:w="41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 dos chunks recuperados que são realmente relevantes (sem ruído)</w:t>
            </w:r>
          </w:p>
        </w:tc>
        <w:tc>
          <w:tcPr>
            <w:tcW w:type="dxa" w:w="18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&gt; 70%</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Faithfulness</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Todos</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 das afirmações na resposta fundamentadas nos chunks (sem alucinação)</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&gt; 90%</w:t>
            </w:r>
          </w:p>
        </w:tc>
      </w:tr>
      <w:tr>
        <w:tc>
          <w:tcPr>
            <w:tcW w:type="dxa" w:w="24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Hallucination Rate</w:t>
            </w:r>
          </w:p>
        </w:tc>
        <w:tc>
          <w:tcPr>
            <w:tcW w:type="dxa" w:w="8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Todos</w:t>
            </w:r>
          </w:p>
        </w:tc>
        <w:tc>
          <w:tcPr>
            <w:tcW w:type="dxa" w:w="41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 de respostas com ao menos 1 afirmação não fundamentada no contexto</w:t>
            </w:r>
          </w:p>
        </w:tc>
        <w:tc>
          <w:tcPr>
            <w:tcW w:type="dxa" w:w="18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&lt; 5%</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Precision@1</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T1</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 resposta correta é a primeira informação fornecida?</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&gt; 95%</w:t>
            </w:r>
          </w:p>
        </w:tc>
      </w:tr>
      <w:tr>
        <w:tc>
          <w:tcPr>
            <w:tcW w:type="dxa" w:w="24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Step Completeness</w:t>
            </w:r>
          </w:p>
        </w:tc>
        <w:tc>
          <w:tcPr>
            <w:tcW w:type="dxa" w:w="8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T3</w:t>
            </w:r>
          </w:p>
        </w:tc>
        <w:tc>
          <w:tcPr>
            <w:tcW w:type="dxa" w:w="41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 das etapas do processo presentes na resposta em ordem correta</w:t>
            </w:r>
          </w:p>
        </w:tc>
        <w:tc>
          <w:tcPr>
            <w:tcW w:type="dxa" w:w="18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&gt; 90%</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Conflict Detection Rate</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T4</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 das queries T4 em que o sistema sinalizou corretamente a divergência entre versões</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100%</w:t>
            </w:r>
          </w:p>
        </w:tc>
      </w:tr>
    </w:tbl>
    <w:p>
      <w:pPr>
        <w:spacing w:after="80" w:before="0"/>
      </w:pPr>
    </w:p>
    <w:p>
      <w:pPr>
        <w:pStyle w:val="ListParagraph"/>
        <w:numPr>
          <w:ilvl w:val="0"/>
          <w:numId w:val="2"/>
        </w:numPr>
        <w:spacing w:after="60" w:before="40"/>
      </w:pPr>
      <w:r>
        <w:rPr>
          <w:rFonts w:ascii="Arial" w:cs="Arial" w:eastAsia="Arial" w:hAnsi="Arial"/>
          <w:color w:val="333333"/>
          <w:sz w:val="20"/>
          <w:szCs w:val="20"/>
        </w:rPr>
        <w:t xml:space="preserve">Ferramenta: RAGAS integrado ao pipeline de CI/CD. A cada mudança de configuração, rodar o suite completo por tipo de query.</w:t>
      </w:r>
    </w:p>
    <w:p>
      <w:pPr>
        <w:pStyle w:val="ListParagraph"/>
        <w:numPr>
          <w:ilvl w:val="0"/>
          <w:numId w:val="2"/>
        </w:numPr>
        <w:spacing w:after="60" w:before="40"/>
      </w:pPr>
      <w:r>
        <w:rPr>
          <w:rFonts w:ascii="Arial" w:cs="Arial" w:eastAsia="Arial" w:hAnsi="Arial"/>
          <w:color w:val="333333"/>
          <w:sz w:val="20"/>
          <w:szCs w:val="20"/>
        </w:rPr>
        <w:t xml:space="preserve">Avaliação humana: piloto com 5–10 atendentes reais por 2 semanas antes do go-live, com feedback estruturado por tipo de pergunta.</w:t>
      </w:r>
    </w:p>
    <w:p>
      <w:pPr>
        <w:pStyle w:val="ListParagraph"/>
        <w:numPr>
          <w:ilvl w:val="0"/>
          <w:numId w:val="2"/>
        </w:numPr>
        <w:spacing w:after="60" w:before="40"/>
      </w:pPr>
      <w:r>
        <w:rPr>
          <w:rFonts w:ascii="Arial" w:cs="Arial" w:eastAsia="Arial" w:hAnsi="Arial"/>
          <w:color w:val="333333"/>
          <w:sz w:val="20"/>
          <w:szCs w:val="20"/>
        </w:rPr>
        <w:t xml:space="preserve">Monitoramento em produção: logar query + chunks recuperados + tipo classificado + resposta (com anonimização PII). Revisar amostra de 50 interações/semana nas primeiras 4 semanas por tipo de query.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A5C2A" w:val="clear"/>
            <w:tcMar>
              <w:top w:type="dxa" w:w="120"/>
              <w:left w:type="dxa" w:w="100"/>
              <w:bottom w:type="dxa" w:w="120"/>
              <w:right w:type="dxa" w:w="80"/>
            </w:tcMar>
          </w:tcPr>
          <w:p>
            <w:pPr>
              <w:jc w:val="center"/>
            </w:pPr>
            <w:r>
              <w:rPr>
                <w:rFonts w:ascii="Arial" w:cs="Arial" w:eastAsia="Arial" w:hAnsi="Arial"/>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E8F8EE" w:val="clear"/>
            <w:tcMar>
              <w:top w:type="dxa" w:w="100"/>
              <w:left w:type="dxa" w:w="180"/>
              <w:bottom w:type="dxa" w:w="100"/>
              <w:right w:type="dxa" w:w="140"/>
            </w:tcMar>
          </w:tcPr>
          <w:p>
            <w:r>
              <w:rPr>
                <w:rFonts w:ascii="Arial" w:cs="Arial" w:eastAsia="Arial" w:hAnsi="Arial"/>
                <w:color w:val="333333"/>
                <w:sz w:val="19"/>
                <w:szCs w:val="19"/>
              </w:rPr>
              <w:t xml:space="preserve">Critério de aceite para go-live: Faithfulness &gt; 90%, Context Recall &gt; 80%, Hallucination Rate &lt; 5%, Precision@1 (T1) &gt; 95%, Step Completeness (T3) &gt; 90%, Conflict Detection Rate (T4) = 100%, e aprovação de ≥ 80% das respostas no piloto com atendentes reais.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2E6DA4" w:val="clear"/>
            <w:tcMar>
              <w:top w:type="dxa" w:w="120"/>
              <w:left w:type="dxa" w:w="120"/>
              <w:bottom w:type="dxa" w:w="120"/>
              <w:right w:type="dxa" w:w="100"/>
            </w:tcMar>
          </w:tcPr>
          <w:p>
            <w:pPr>
              <w:jc w:val="center"/>
            </w:pPr>
            <w:r>
              <w:rPr>
                <w:rFonts w:ascii="Arial" w:cs="Arial" w:eastAsia="Arial" w:hAnsi="Arial"/>
                <w:b/>
                <w:bCs/>
                <w:color w:val="FFFFFF"/>
                <w:sz w:val="28"/>
                <w:szCs w:val="28"/>
              </w:rPr>
              <w:t xml:space="preserve">04</w:t>
            </w:r>
          </w:p>
        </w:tc>
        <w:tc>
          <w:tcPr>
            <w:tcW w:type="dxa" w:w="8580"/>
            <w:tcBorders>
              <w:top w:val="none" w:color="FFFFFF" w:sz="0"/>
              <w:left w:val="none" w:color="FFFFFF" w:sz="0"/>
              <w:bottom w:val="none" w:color="FFFFFF" w:sz="0"/>
              <w:right w:val="none" w:color="FFFFFF" w:sz="0"/>
            </w:tcBorders>
            <w:shd w:fill="EBF3FA" w:val="clear"/>
            <w:tcMar>
              <w:top w:type="dxa" w:w="120"/>
              <w:left w:type="dxa" w:w="240"/>
              <w:bottom w:type="dxa" w:w="120"/>
              <w:right w:type="dxa" w:w="140"/>
            </w:tcMar>
          </w:tcPr>
          <w:p>
            <w:r>
              <w:rPr>
                <w:rFonts w:ascii="Arial" w:cs="Arial" w:eastAsia="Arial" w:hAnsi="Arial"/>
                <w:b/>
                <w:bCs/>
                <w:color w:val="1E3A5F"/>
                <w:sz w:val="26"/>
                <w:szCs w:val="26"/>
              </w:rPr>
              <w:t xml:space="preserve">Resumo das Decisões Arquiteturais — v1.0 vs v3.0</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60"/>
        <w:gridCol w:w="2560"/>
        <w:gridCol w:w="2240"/>
      </w:tblGrid>
      <w:tr>
        <w:tc>
          <w:tcPr>
            <w:tcW w:type="dxa" w:w="26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Dimensão</w:t>
            </w:r>
          </w:p>
        </w:tc>
        <w:tc>
          <w:tcPr>
            <w:tcW w:type="dxa" w:w="19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v1.0</w:t>
            </w:r>
          </w:p>
        </w:tc>
        <w:tc>
          <w:tcPr>
            <w:tcW w:type="dxa" w:w="25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v3.0 (Unificado)</w:t>
            </w:r>
          </w:p>
        </w:tc>
        <w:tc>
          <w:tcPr>
            <w:tcW w:type="dxa" w:w="224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Justificativa</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Ponto de partida do design</w:t>
            </w:r>
          </w:p>
        </w:tc>
        <w:tc>
          <w:tcPr>
            <w:tcW w:type="dxa" w:w="1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Tipo de documento</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Tipo de query do usuário</w:t>
            </w:r>
          </w:p>
        </w:tc>
        <w:tc>
          <w:tcPr>
            <w:tcW w:type="dxa" w:w="224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 variável que determina chunking e retrieval é o que o usuário pergunta — não como o documento está formatado</w:t>
            </w:r>
          </w:p>
        </w:tc>
      </w:tr>
      <w:tr>
        <w:tc>
          <w:tcPr>
            <w:tcW w:type="dxa" w:w="2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Classificação de query</w:t>
            </w:r>
          </w:p>
        </w:tc>
        <w:tc>
          <w:tcPr>
            <w:tcW w:type="dxa" w:w="19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Não existia</w:t>
            </w:r>
          </w:p>
        </w:tc>
        <w:tc>
          <w:tcPr>
            <w:tcW w:type="dxa" w:w="25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Etapa obrigatória antes do retrieval</w:t>
            </w:r>
          </w:p>
        </w:tc>
        <w:tc>
          <w:tcPr>
            <w:tcW w:type="dxa" w:w="224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Sem classificação, todos os tipos são tratados com lógica genérica — o principal vetor de erros sistêmicos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Ponderação BM25/Vetorial</w:t>
            </w:r>
          </w:p>
        </w:tc>
        <w:tc>
          <w:tcPr>
            <w:tcW w:type="dxa" w:w="1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Busca híbrida genérica</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Por tipo: T1 BM25 70%, T2/T3 Vetorial 70%, T4 diversidade forçada</w:t>
            </w:r>
          </w:p>
        </w:tc>
        <w:tc>
          <w:tcPr>
            <w:tcW w:type="dxa" w:w="224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Cada tipo de query tem perfil de busca diferente — ponderação uniforme subotimiza todos os tipos</w:t>
            </w:r>
          </w:p>
        </w:tc>
      </w:tr>
      <w:tr>
        <w:tc>
          <w:tcPr>
            <w:tcW w:type="dxa" w:w="2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Chunking de planilha</w:t>
            </w:r>
          </w:p>
        </w:tc>
        <w:tc>
          <w:tcPr>
            <w:tcW w:type="dxa" w:w="19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30–80 tokens/linha individual</w:t>
            </w:r>
          </w:p>
        </w:tc>
        <w:tc>
          <w:tcPr>
            <w:tcW w:type="dxa" w:w="25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150–300 tokens/bloco de categoria (todas as faixas da dimensão)</w:t>
            </w:r>
          </w:p>
        </w:tc>
        <w:tc>
          <w:tcPr>
            <w:tcW w:type="dxa" w:w="224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Linha isolada → risco de faixa errada com score alto. Bloco de categoria → contexto completo disponível</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Chunking de processo (T3)</w:t>
            </w:r>
          </w:p>
        </w:tc>
        <w:tc>
          <w:tcPr>
            <w:tcW w:type="dxa" w:w="1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Parent-child genérico</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Encadeamento obrigatório com step_index + next_chunk_id</w:t>
            </w:r>
          </w:p>
        </w:tc>
        <w:tc>
          <w:tcPr>
            <w:tcW w:type="dxa" w:w="224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Sem grafo, retrieval vetorial omite etapas intermediárias; a ordem do fluxo não é garantida</w:t>
            </w:r>
          </w:p>
        </w:tc>
      </w:tr>
      <w:tr>
        <w:tc>
          <w:tcPr>
            <w:tcW w:type="dxa" w:w="2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Versões antigas no índice</w:t>
            </w:r>
          </w:p>
        </w:tc>
        <w:tc>
          <w:tcPr>
            <w:tcW w:type="dxa" w:w="19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Deletar na atualização</w:t>
            </w:r>
          </w:p>
        </w:tc>
        <w:tc>
          <w:tcPr>
            <w:tcW w:type="dxa" w:w="25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archived=true para documentos de política; reter para T4</w:t>
            </w:r>
          </w:p>
        </w:tc>
        <w:tc>
          <w:tcPr>
            <w:tcW w:type="dxa" w:w="224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Queries comparativas precisam de versões anteriores — deletar as destrói a capacidade de responder T4</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Density PDF (palavras/pág)</w:t>
            </w:r>
          </w:p>
        </w:tc>
        <w:tc>
          <w:tcPr>
            <w:tcW w:type="dxa" w:w="1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350</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220 (base) / 150–300 (faixa)</w:t>
            </w:r>
          </w:p>
        </w:tc>
        <w:tc>
          <w:tcPr>
            <w:tcW w:type="dxa" w:w="224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v1.0 era otimista; PDFs corporativos com tabelas e imagens têm densidade textual extraível bem menor</w:t>
            </w:r>
          </w:p>
        </w:tc>
      </w:tr>
      <w:tr>
        <w:tc>
          <w:tcPr>
            <w:tcW w:type="dxa" w:w="2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Modelo de embedding</w:t>
            </w:r>
          </w:p>
        </w:tc>
        <w:tc>
          <w:tcPr>
            <w:tcW w:type="dxa" w:w="19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Não especificado</w:t>
            </w:r>
          </w:p>
        </w:tc>
        <w:tc>
          <w:tcPr>
            <w:tcW w:type="dxa" w:w="25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text-embedding-3-large (benchmark vs multilingual-e5)</w:t>
            </w:r>
          </w:p>
        </w:tc>
        <w:tc>
          <w:tcPr>
            <w:tcW w:type="dxa" w:w="224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Decisão arquitetural crítica omitida — tem impacto direto na qualidade do retrieval</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Vector store</w:t>
            </w:r>
          </w:p>
        </w:tc>
        <w:tc>
          <w:tcPr>
            <w:tcW w:type="dxa" w:w="1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Não especificado</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Azure AI Search (híbrido BM25+vetorial)</w:t>
            </w:r>
          </w:p>
        </w:tc>
        <w:tc>
          <w:tcPr>
            <w:tcW w:type="dxa" w:w="224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Alinhamento ao ecossistema Microsoft; busca híbrida nativa essencial para o mix de tipos T1–T4</w:t>
            </w:r>
          </w:p>
        </w:tc>
      </w:tr>
      <w:tr>
        <w:tc>
          <w:tcPr>
            <w:tcW w:type="dxa" w:w="2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Resolução de fórmulas Excel</w:t>
            </w:r>
          </w:p>
        </w:tc>
        <w:tc>
          <w:tcPr>
            <w:tcW w:type="dxa" w:w="19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openpyxl data_only=True</w:t>
            </w:r>
          </w:p>
        </w:tc>
        <w:tc>
          <w:tcPr>
            <w:tcW w:type="dxa" w:w="25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LibreOffice Headless para fórmulas voláteis</w:t>
            </w:r>
          </w:p>
        </w:tc>
        <w:tc>
          <w:tcPr>
            <w:tcW w:type="dxa" w:w="224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data_only=True retorna None para fórmulas com dependências externas ou funções voláteis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Avaliação de qualidade</w:t>
            </w:r>
          </w:p>
        </w:tc>
        <w:tc>
          <w:tcPr>
            <w:tcW w:type="dxa" w:w="1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Não definida</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RAGAS estratificado por tipo de query (T1–T4)</w:t>
            </w:r>
          </w:p>
        </w:tc>
        <w:tc>
          <w:tcPr>
            <w:tcW w:type="dxa" w:w="224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Métricas gerais escondem falhas específicas por tipo — Precision@1, Step Completeness, Conflict Detection Rate</w:t>
            </w:r>
          </w:p>
        </w:tc>
      </w:tr>
      <w:tr>
        <w:tc>
          <w:tcPr>
            <w:tcW w:type="dxa" w:w="2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Latência estimada</w:t>
            </w:r>
          </w:p>
        </w:tc>
        <w:tc>
          <w:tcPr>
            <w:tcW w:type="dxa" w:w="19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&lt; 5 s (afirmado)</w:t>
            </w:r>
          </w:p>
        </w:tc>
        <w:tc>
          <w:tcPr>
            <w:tcW w:type="dxa" w:w="25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3–7,5 s (p50); 8–15 s (p95) com streaming</w:t>
            </w:r>
          </w:p>
        </w:tc>
        <w:tc>
          <w:tcPr>
            <w:tcW w:type="dxa" w:w="224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Afirmação substituída por análise por etapa do pipeline</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Custo operacional</w:t>
            </w:r>
          </w:p>
        </w:tc>
        <w:tc>
          <w:tcPr>
            <w:tcW w:type="dxa" w:w="1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Não estimado</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~R$ 700/mês (inferência GPT-4o)</w:t>
            </w:r>
          </w:p>
        </w:tc>
        <w:tc>
          <w:tcPr>
            <w:tcW w:type="dxa" w:w="224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Necessário para aprovação de orçamento em produção</w:t>
            </w:r>
          </w:p>
        </w:tc>
      </w:tr>
      <w:tr>
        <w:tc>
          <w:tcPr>
            <w:tcW w:type="dxa" w:w="2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LGPD / PII</w:t>
            </w:r>
          </w:p>
        </w:tc>
        <w:tc>
          <w:tcPr>
            <w:tcW w:type="dxa" w:w="19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Não mencionado</w:t>
            </w:r>
          </w:p>
        </w:tc>
        <w:tc>
          <w:tcPr>
            <w:tcW w:type="dxa" w:w="25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PII Detection antes da indexação (Azure AI Language)</w:t>
            </w:r>
          </w:p>
        </w:tc>
        <w:tc>
          <w:tcPr>
            <w:tcW w:type="dxa" w:w="224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Obrigatório para conformidade com LGPD</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Fallback de resposta</w:t>
            </w:r>
          </w:p>
        </w:tc>
        <w:tc>
          <w:tcPr>
            <w:tcW w:type="dxa" w:w="1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Não definido</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Resposta padrão honesta por tipo de query + escalada</w:t>
            </w:r>
          </w:p>
        </w:tc>
        <w:tc>
          <w:tcPr>
            <w:tcW w:type="dxa" w:w="224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Sem fallback explícito, o LLM pode alucinar com confiança — especialmente em T1 e T2</w:t>
            </w:r>
          </w:p>
        </w:tc>
      </w:tr>
      <w:tr>
        <w:tc>
          <w:tcPr>
            <w:tcW w:type="dxa" w:w="2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Cache semântico</w:t>
            </w:r>
          </w:p>
        </w:tc>
        <w:tc>
          <w:tcPr>
            <w:tcW w:type="dxa" w:w="19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Não mencionado</w:t>
            </w:r>
          </w:p>
        </w:tc>
        <w:tc>
          <w:tcPr>
            <w:tcW w:type="dxa" w:w="25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Cache semântico para T1/T2 recorrentes (20–40% hit)</w:t>
            </w:r>
          </w:p>
        </w:tc>
        <w:tc>
          <w:tcPr>
            <w:tcW w:type="dxa" w:w="224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Reduz latência e custo para as queries mais frequentes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Delete incremental no índice</w:t>
            </w:r>
          </w:p>
        </w:tc>
        <w:tc>
          <w:tcPr>
            <w:tcW w:type="dxa" w:w="1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Não mencionado</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Delete-by-document-id obrigatório antes de re-indexar</w:t>
            </w:r>
          </w:p>
        </w:tc>
        <w:tc>
          <w:tcPr>
            <w:tcW w:type="dxa" w:w="224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Sem delete, versões antigas e novas coexistem — agravando o problema de conflito de documentos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E3A5F" w:val="clear"/>
            <w:tcMar>
              <w:top w:type="dxa" w:w="120"/>
              <w:left w:type="dxa" w:w="100"/>
              <w:bottom w:type="dxa" w:w="120"/>
              <w:right w:type="dxa" w:w="80"/>
            </w:tcMar>
          </w:tcPr>
          <w:p>
            <w:pPr>
              <w:jc w:val="center"/>
            </w:pPr>
            <w:r>
              <w:rPr>
                <w:rFonts w:ascii="Arial" w:cs="Arial" w:eastAsia="Arial" w:hAnsi="Arial"/>
                <w:b/>
                <w:bCs/>
                <w:color w:val="FFFFFF"/>
                <w:sz w:val="20"/>
                <w:szCs w:val="20"/>
              </w:rPr>
              <w:t xml:space="preserve">→</w:t>
            </w:r>
          </w:p>
        </w:tc>
        <w:tc>
          <w:tcPr>
            <w:tcW w:type="dxa" w:w="8880"/>
            <w:tcBorders>
              <w:top w:val="none" w:color="FFFFFF" w:sz="0"/>
              <w:left w:val="none" w:color="FFFFFF" w:sz="0"/>
              <w:bottom w:val="none" w:color="FFFFFF" w:sz="0"/>
              <w:right w:val="none" w:color="FFFFFF" w:sz="0"/>
            </w:tcBorders>
            <w:shd w:fill="EBF3FA" w:val="clear"/>
            <w:tcMar>
              <w:top w:type="dxa" w:w="100"/>
              <w:left w:type="dxa" w:w="180"/>
              <w:bottom w:type="dxa" w:w="100"/>
              <w:right w:type="dxa" w:w="140"/>
            </w:tcMar>
          </w:tcPr>
          <w:p>
            <w:r>
              <w:rPr>
                <w:rFonts w:ascii="Arial" w:cs="Arial" w:eastAsia="Arial" w:hAnsi="Arial"/>
                <w:color w:val="333333"/>
                <w:sz w:val="19"/>
                <w:szCs w:val="19"/>
              </w:rPr>
              <w:t xml:space="preserve">16 decisões arquiteturais explicitadas. O documento v3.0 não é uma crítica à boa intenção da v1.0 — é a versão que um projeto real precisa antes de entrar em desenvolvimento: com premissas validadas, riscos identificados, critérios de aceite definidos e design orientado pelo usuário.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2E6DA4" w:val="clear"/>
            <w:tcMar>
              <w:top w:type="dxa" w:w="120"/>
              <w:left w:type="dxa" w:w="120"/>
              <w:bottom w:type="dxa" w:w="120"/>
              <w:right w:type="dxa" w:w="100"/>
            </w:tcMar>
          </w:tcPr>
          <w:p>
            <w:pPr>
              <w:jc w:val="center"/>
            </w:pPr>
            <w:r>
              <w:rPr>
                <w:rFonts w:ascii="Arial" w:cs="Arial" w:eastAsia="Arial" w:hAnsi="Arial"/>
                <w:b/>
                <w:bCs/>
                <w:color w:val="FFFFFF"/>
                <w:sz w:val="28"/>
                <w:szCs w:val="28"/>
              </w:rPr>
              <w:t xml:space="preserve">GL</w:t>
            </w:r>
          </w:p>
        </w:tc>
        <w:tc>
          <w:tcPr>
            <w:tcW w:type="dxa" w:w="8580"/>
            <w:tcBorders>
              <w:top w:val="none" w:color="FFFFFF" w:sz="0"/>
              <w:left w:val="none" w:color="FFFFFF" w:sz="0"/>
              <w:bottom w:val="none" w:color="FFFFFF" w:sz="0"/>
              <w:right w:val="none" w:color="FFFFFF" w:sz="0"/>
            </w:tcBorders>
            <w:shd w:fill="EBF3FA" w:val="clear"/>
            <w:tcMar>
              <w:top w:type="dxa" w:w="120"/>
              <w:left w:type="dxa" w:w="240"/>
              <w:bottom w:type="dxa" w:w="120"/>
              <w:right w:type="dxa" w:w="140"/>
            </w:tcMar>
          </w:tcPr>
          <w:p>
            <w:r>
              <w:rPr>
                <w:rFonts w:ascii="Arial" w:cs="Arial" w:eastAsia="Arial" w:hAnsi="Arial"/>
                <w:b/>
                <w:bCs/>
                <w:color w:val="1E3A5F"/>
                <w:sz w:val="26"/>
                <w:szCs w:val="26"/>
              </w:rPr>
              <w:t xml:space="preserve">Glossário</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Termo</w:t>
            </w:r>
          </w:p>
        </w:tc>
        <w:tc>
          <w:tcPr>
            <w:tcW w:type="dxa" w:w="67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Definição</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RAG</w:t>
            </w:r>
          </w:p>
        </w:tc>
        <w:tc>
          <w:tcPr>
            <w:tcW w:type="dxa" w:w="6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Retrieval-Augmented Generation: arquitetura que combina busca em base de conhecimento com geração de texto por LLM, fundamentando as respostas em documentos reais.</w:t>
            </w:r>
          </w:p>
        </w:tc>
      </w:tr>
      <w:tr>
        <w:tc>
          <w:tcPr>
            <w:tcW w:type="dxa" w:w="2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Chunk</w:t>
            </w:r>
          </w:p>
        </w:tc>
        <w:tc>
          <w:tcPr>
            <w:tcW w:type="dxa" w:w="67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Fragmento de texto extraído de um documento, usado como unidade de indexação e recuperação no pipeline RAG.</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Embedding</w:t>
            </w:r>
          </w:p>
        </w:tc>
        <w:tc>
          <w:tcPr>
            <w:tcW w:type="dxa" w:w="6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Representação vetorial de texto em espaço de alta dimensão que permite busca por similaridade semântica.</w:t>
            </w:r>
          </w:p>
        </w:tc>
      </w:tr>
      <w:tr>
        <w:tc>
          <w:tcPr>
            <w:tcW w:type="dxa" w:w="2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BM25</w:t>
            </w:r>
          </w:p>
        </w:tc>
        <w:tc>
          <w:tcPr>
            <w:tcW w:type="dxa" w:w="67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Algoritmo clássico de busca por palavras-chave (keyword search). Na busca híbrida, é mais eficaz para queries T1 com termos exatos (região, faixa, tipo).</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Busca Híbrida</w:t>
            </w:r>
          </w:p>
        </w:tc>
        <w:tc>
          <w:tcPr>
            <w:tcW w:type="dxa" w:w="6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Combinação de busca vetorial (semântica) e BM25 (keywords) com ponderação configurável. Essencial para o mix de tipos T1–T4 da NovaTech.</w:t>
            </w:r>
          </w:p>
        </w:tc>
      </w:tr>
      <w:tr>
        <w:tc>
          <w:tcPr>
            <w:tcW w:type="dxa" w:w="2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Cross-Encoder / Reranking</w:t>
            </w:r>
          </w:p>
        </w:tc>
        <w:tc>
          <w:tcPr>
            <w:tcW w:type="dxa" w:w="67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Modelo que avalia o par (query, chunk) conjuntamente para score de relevância mais preciso. Não aplicar para T3 (preservar ordem sequencial).</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Lost in the Middle</w:t>
            </w:r>
          </w:p>
        </w:tc>
        <w:tc>
          <w:tcPr>
            <w:tcW w:type="dxa" w:w="6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Fenômeno em que LLMs prestam menos atenção a informações posicionadas no meio de contextos longos. Crítico para T3 (processo) — chunks devem ser injetados como bloco contíguo.</w:t>
            </w:r>
          </w:p>
        </w:tc>
      </w:tr>
      <w:tr>
        <w:tc>
          <w:tcPr>
            <w:tcW w:type="dxa" w:w="2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Parent-Child Chunking</w:t>
            </w:r>
          </w:p>
        </w:tc>
        <w:tc>
          <w:tcPr>
            <w:tcW w:type="dxa" w:w="67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Estratégia hierárquica onde chunks pequenos (child) são usados na busca e chunks maiores (parent) são injetados no LLM como contexto. Padrão para T2.</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step_index / next_chunk_id</w:t>
            </w:r>
          </w:p>
        </w:tc>
        <w:tc>
          <w:tcPr>
            <w:tcW w:type="dxa" w:w="6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Metadados de encadeamento usados em chunks de processo (T3) para garantir recuperação das etapas em ordem sequencial via grafo de navegação.</w:t>
            </w:r>
          </w:p>
        </w:tc>
      </w:tr>
      <w:tr>
        <w:tc>
          <w:tcPr>
            <w:tcW w:type="dxa" w:w="2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T1 / T2 / T3 / T4</w:t>
            </w:r>
          </w:p>
        </w:tc>
        <w:tc>
          <w:tcPr>
            <w:tcW w:type="dxa" w:w="67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Taxonomia de tipos de pergunta da NovaTech. T1: lookup tabular. T2: regra condicional. T3: processo/fluxo. T4: comparativa/versão. Define chunking, retrieval e avaliação.</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RAGAS</w:t>
            </w:r>
          </w:p>
        </w:tc>
        <w:tc>
          <w:tcPr>
            <w:tcW w:type="dxa" w:w="6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Framework open-source de avaliação de sistemas RAG. Mede Faithfulness, Context Recall, Context Precision e Answer Relevance. Deve ser estratificado por tipo de query.</w:t>
            </w:r>
          </w:p>
        </w:tc>
      </w:tr>
      <w:tr>
        <w:tc>
          <w:tcPr>
            <w:tcW w:type="dxa" w:w="2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Precision@1</w:t>
            </w:r>
          </w:p>
        </w:tc>
        <w:tc>
          <w:tcPr>
            <w:tcW w:type="dxa" w:w="67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Métrica específica para T1: a resposta correta é a primeira informação fornecida? Meta &gt; 95% — retornar faixa errada com confiança é o pior cenário para lookup tabular.</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Step Completeness</w:t>
            </w:r>
          </w:p>
        </w:tc>
        <w:tc>
          <w:tcPr>
            <w:tcW w:type="dxa" w:w="6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Métrica específica para T3: % das etapas do processo presentes na resposta em ordem correta. Meta &gt; 90%.</w:t>
            </w:r>
          </w:p>
        </w:tc>
      </w:tr>
      <w:tr>
        <w:tc>
          <w:tcPr>
            <w:tcW w:type="dxa" w:w="2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Conflict Detection Rate</w:t>
            </w:r>
          </w:p>
        </w:tc>
        <w:tc>
          <w:tcPr>
            <w:tcW w:type="dxa" w:w="67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Métrica específica para T4: % das queries comparativas em que o sistema sinalizou corretamente a divergência entre versões. Meta: 100%.</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Faithfulness</w:t>
            </w:r>
          </w:p>
        </w:tc>
        <w:tc>
          <w:tcPr>
            <w:tcW w:type="dxa" w:w="6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 das afirmações na resposta do LLM fundamentadas nos chunks recuperados (ausência de alucinação). Meta geral &gt; 90%.</w:t>
            </w:r>
          </w:p>
        </w:tc>
      </w:tr>
      <w:tr>
        <w:tc>
          <w:tcPr>
            <w:tcW w:type="dxa" w:w="2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PII Detection</w:t>
            </w:r>
          </w:p>
        </w:tc>
        <w:tc>
          <w:tcPr>
            <w:tcW w:type="dxa" w:w="67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Detecção de Informações Pessoais Identificáveis — etapa obrigatória de conformidade com LGPD antes da indexação de qualquer documento.</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delete-by-document-id</w:t>
            </w:r>
          </w:p>
        </w:tc>
        <w:tc>
          <w:tcPr>
            <w:tcW w:type="dxa" w:w="6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Operação no índice vetorial que remove todos os chunks de um documento específico antes da re-indexação. Obrigatório no pipeline de atualização incremental para evitar coexistência de versões.</w:t>
            </w:r>
          </w:p>
        </w:tc>
      </w:tr>
      <w:tr>
        <w:tc>
          <w:tcPr>
            <w:tcW w:type="dxa" w:w="260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archived=true</w:t>
            </w:r>
          </w:p>
        </w:tc>
        <w:tc>
          <w:tcPr>
            <w:tcW w:type="dxa" w:w="6760"/>
            <w:tcBorders>
              <w:top w:val="single" w:color="C8D8E8" w:sz="1"/>
              <w:left w:val="single" w:color="C8D8E8" w:sz="1"/>
              <w:bottom w:val="single" w:color="C8D8E8" w:sz="1"/>
              <w:right w:val="single" w:color="C8D8E8" w:sz="1"/>
            </w:tcBorders>
            <w:shd w:fill="F5F7FA" w:val="clear"/>
            <w:tcMar>
              <w:top w:type="dxa" w:w="70"/>
              <w:left w:type="dxa" w:w="120"/>
              <w:bottom w:type="dxa" w:w="70"/>
              <w:right w:type="dxa" w:w="120"/>
            </w:tcMar>
          </w:tcPr>
          <w:p>
            <w:r>
              <w:rPr>
                <w:rFonts w:ascii="Arial" w:cs="Arial" w:eastAsia="Arial" w:hAnsi="Arial"/>
                <w:color w:val="333333"/>
                <w:sz w:val="19"/>
                <w:szCs w:val="19"/>
              </w:rPr>
              <w:t xml:space="preserve">Flag de metadado para versões anteriores de documentos de política. Documentos arquivados permanecem no índice para suportar queries T4 comparativas — não são deletados.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Cache Semântico</w:t>
            </w:r>
          </w:p>
        </w:tc>
        <w:tc>
          <w:tcPr>
            <w:tcW w:type="dxa" w:w="6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Cache que armazena respostas de queries semanticamente similares. Reduz chamadas ao pipeline completo em 20–40% para T1 e T2 recorrentes.</w:t>
            </w:r>
          </w:p>
        </w:tc>
      </w:tr>
    </w:tbl>
    <w:p>
      <w:pPr>
        <w:spacing w:after="120" w:before="0"/>
      </w:pPr>
    </w:p>
    <w:p>
      <w:pPr>
        <w:spacing w:after="100" w:before="60"/>
      </w:pPr>
      <w:r>
        <w:rPr>
          <w:rFonts w:ascii="Arial" w:cs="Arial" w:eastAsia="Arial" w:hAnsi="Arial"/>
          <w:i/>
          <w:iCs/>
          <w:color w:val="999999"/>
          <w:sz w:val="20"/>
          <w:szCs w:val="20"/>
        </w:rPr>
        <w:t xml:space="preserve">— Fim do Documento v3.0 —</w:t>
      </w:r>
    </w:p>
    <w:p>
      <w:pPr>
        <w:spacing w:after="40" w:before="0"/>
      </w:pPr>
    </w:p>
    <w:p>
      <w:pPr>
        <w:spacing w:after="100" w:before="60"/>
      </w:pPr>
      <w:r>
        <w:rPr>
          <w:rFonts w:ascii="Arial" w:cs="Arial" w:eastAsia="Arial" w:hAnsi="Arial"/>
          <w:i/>
          <w:iCs/>
          <w:color w:val="AAAAAA"/>
          <w:sz w:val="17"/>
          <w:szCs w:val="17"/>
        </w:rPr>
        <w:t xml:space="preserve">DB1 Technology  ·  Confidencial  ·  Maio 2025  ·  </w:t>
      </w:r>
      <w:r>
        <w:rPr>
          <w:rFonts w:ascii="Arial" w:cs="Arial" w:eastAsia="Arial" w:hAnsi="Arial"/>
          <w:i/>
          <w:iCs/>
          <w:color w:val="AAAAAA"/>
          <w:sz w:val="17"/>
          <w:szCs w:val="17"/>
        </w:rPr>
        <w:t xml:space="preserve">Este documento unificado substitui as versões v1.0, v2.0 e v2.1 para todos os fins de referência arquitetural.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6"/>
      </w:pBdr>
      <w:jc w:val="center"/>
    </w:pPr>
    <w:r>
      <w:rPr>
        <w:rFonts w:ascii="Arial" w:cs="Arial" w:eastAsia="Arial" w:hAnsi="Arial"/>
        <w:color w:val="888888"/>
        <w:sz w:val="16"/>
        <w:szCs w:val="16"/>
      </w:rPr>
      <w:t xml:space="preserve">NovaTech Logística · Análise de Viabilidade Técnica RAG v3.0  |  Confidencial  |  Pág.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6DA4"/>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2026-05-28T12:13:40.020Z</dcterms:created>
  <dcterms:modified xsi:type="dcterms:W3CDTF">2026-05-28T12:13:40.032Z</dcterms:modified>
</cp:coreProperties>
</file>

<file path=docProps/custom.xml><?xml version="1.0" encoding="utf-8"?>
<Properties xmlns="http://schemas.openxmlformats.org/officeDocument/2006/custom-properties" xmlns:vt="http://schemas.openxmlformats.org/officeDocument/2006/docPropsVTypes"/>
</file>