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Resolver Atividades do Slide Requisitos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1 - Quais são as três partes de uma história de usuário?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Responda usando o acrônimo 3C's.: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As histórias devem primeiramente ser anotadas em um cartão com seus requisitos funcionais na frente, então discutidas com o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PO em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uma sprint e por fim deve ser descrito o que será tratado como história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concluida.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2 - Todas as histórias de usuário devem ser sucintas?: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Sim, devem ser breves, bem explicadas e direto ao ponto.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3 - Qual a diferença entre casos de uso e histórias de usuários?: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Um caso de uso é um cartão com um “passo a passo” de uma ação complexa com o produto que exige múltiplos requisitos e com extensões de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RNF’s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4 - Qual a diferença entre um Produto Mínimo Viável (MVP) e o produto obtido na primeira iteração de um método ágil, como XP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ou Scrum?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Com um MVP mesmo a primeira iteração já é completa com todo o aspecto exterior que o produto final pretende ter, sendo então alterado com as próximas iterações os detalhes do MVP, além de construir a sua base. Entretanto com outros métodos a primeira iteração ainda não é utilizável, servindo apenas como estrutura base do projeto final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5 - Os Testes A/B podem ser realizados com mais variações (A, B, C ...)?: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Sim, desde que tenha sempre o grupo de controle e que os outros grupos sejam suficientemente grandes para a análise ser estatisticamente frutuosa.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Atividade 6 - É necessário realizar algum tratamento ou operação antes dos Testes A/B?: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Sim, é necessário primeiro definir o tamanho desejado da amostra tendo como base os ganhos pretendidos.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