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/>
        <w:jc w:val="center"/>
        <w:rPr>
          <w:highlight w:val="black"/>
        </w:rPr>
      </w:pPr>
      <w:r>
        <w:rPr>
          <w:highlight w:val="bl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3733800</wp:posOffset>
            </wp:positionH>
            <wp:positionV relativeFrom="paragraph">
              <wp:posOffset>-540385</wp:posOffset>
            </wp:positionV>
            <wp:extent cx="1905000" cy="64325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49" r="-17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35560</wp:posOffset>
            </wp:positionH>
            <wp:positionV relativeFrom="paragraph">
              <wp:posOffset>-503555</wp:posOffset>
            </wp:positionV>
            <wp:extent cx="2534920" cy="55372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Universidade do Estado de Santa Catarina/Centro de Ciências Tecnológicas – UDESC/CCT</w:t>
      </w:r>
    </w:p>
    <w:p>
      <w:pPr>
        <w:pStyle w:val="Normal"/>
        <w:widowControl w:val="false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DCC - Departamento de Ciência da Computação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Curso: BCC – Bacharelado em Ciência da Computação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Disciplina: REC000</w:t>
      </w:r>
      <w:r>
        <w:rPr/>
        <w:t>3</w:t>
      </w:r>
      <w:r>
        <w:rPr/>
        <w:t xml:space="preserve"> – Redes de Computadores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Professor: Charles Christian Miers</w:t>
      </w:r>
    </w:p>
    <w:p>
      <w:pPr>
        <w:pStyle w:val="Normal"/>
        <w:widowControl w:val="false"/>
        <w:spacing w:lineRule="auto" w:line="360"/>
        <w:jc w:val="both"/>
        <w:rPr>
          <w:highlight w:val="black"/>
        </w:rPr>
      </w:pPr>
      <w:r>
        <w:rPr/>
        <w:t xml:space="preserve">Acadêmicos: </w:t>
        <w:tab/>
      </w:r>
      <w:r>
        <w:rPr>
          <w:color w:val="C9211E"/>
          <w:shd w:fill="auto" w:val="clear"/>
        </w:rPr>
        <w:t>XXXXXX    XXXXX XXXXXX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ab/>
        <w:tab/>
      </w:r>
      <w:r>
        <w:rPr>
          <w:color w:val="C9211E"/>
          <w:shd w:fill="auto" w:val="clear"/>
        </w:rPr>
        <w:t>XXXXXX    XXXXX XXXXXX</w:t>
      </w:r>
      <w:r>
        <w:rPr/>
        <w:t xml:space="preserve"> 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ab/>
        <w:tab/>
      </w:r>
      <w:r>
        <w:rPr>
          <w:color w:val="C9211E"/>
          <w:shd w:fill="auto" w:val="clear"/>
        </w:rPr>
        <w:t>XXXXXX    XXXXX XXXXXX</w:t>
      </w:r>
    </w:p>
    <w:p>
      <w:pPr>
        <w:pStyle w:val="Normal"/>
        <w:widowControl w:val="false"/>
        <w:spacing w:lineRule="auto" w:line="360"/>
        <w:jc w:val="both"/>
        <w:rPr>
          <w:color w:val="FF8000"/>
          <w:highlight w:val="black"/>
        </w:rPr>
      </w:pPr>
      <w:r>
        <w:rPr>
          <w:color w:val="FF8000"/>
        </w:rPr>
        <w:tab/>
        <w:tab/>
      </w:r>
    </w:p>
    <w:p>
      <w:pPr>
        <w:pStyle w:val="Normal"/>
        <w:widowControl w:val="false"/>
        <w:spacing w:lineRule="auto" w:line="360"/>
        <w:jc w:val="both"/>
        <w:rPr/>
      </w:pPr>
      <w:r>
        <w:rPr/>
        <w:t xml:space="preserve">TÍTULO: </w:t>
      </w:r>
      <w:r>
        <w:rPr>
          <w:color w:val="C9211E"/>
        </w:rPr>
        <w:t>ANÁLISE E IMPLEMENTAÇÃO DE REDES DEFINIDAS POR SOFTWARE UTILIZANDO O OPENFLOW PARA OTIMIZAR O FLUXO DE MENSAGENS DE IIOT DESTINADAS A UM BROKER MQTT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OBJETIVO:</w:t>
      </w:r>
      <w:r>
        <w:rPr>
          <w:color w:val="000000"/>
        </w:rPr>
        <w:t xml:space="preserve"> </w:t>
      </w:r>
      <w:r>
        <w:rPr>
          <w:color w:val="C9211E"/>
        </w:rPr>
        <w:t>Utilizando o simulador de redes Mininet e sua interface em Python, implementar uma arquitetura de rede SDN para prover priorização do fluxo de pacotes de rede destinados à aplicações IIoT no broker MQTT sobre outras fontes não-críticas. Desta forma, buscar reduzir a latência e perda de pacotes entre os clientes MQTT devido à sobrecargas na estrutura da camada de rede.</w:t>
      </w:r>
    </w:p>
    <w:p>
      <w:pPr>
        <w:pStyle w:val="Normal"/>
        <w:widowControl w:val="false"/>
        <w:spacing w:lineRule="auto" w:line="360"/>
        <w:jc w:val="both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2835" w:footer="0" w:bottom="1701"/>
          <w:pgNumType w:start="1"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pacing w:lineRule="auto" w:line="360"/>
        <w:jc w:val="both"/>
        <w:rPr/>
      </w:pPr>
      <w:r>
        <w:rPr/>
        <w:t xml:space="preserve">JUSTIFICATIVA: </w:t>
      </w:r>
      <w:r>
        <w:rPr>
          <w:color w:val="C9211E"/>
        </w:rPr>
        <w:t>Com o aumento da digitalização, ambientes industriais possuem alta demanda na transmissão de pacotes de redes, causando sobrecarga no fluxo geral de pacotes. O emprego de IIoT coloca em questão a confiabilidade na transmissão de mensagens entre dispositivos e máquinas industriais que podem se comportar como um sistema crítico. Neste sentido, é interessante analisar o emprego de um fluxo de controle de pacotes baseado em prioridades como forma de evitar o aumento da latência e perda de pacotes entre clientes MQTT.</w:t>
      </w:r>
    </w:p>
    <w:p>
      <w:pPr>
        <w:pStyle w:val="Normal"/>
        <w:widowControl w:val="false"/>
        <w:spacing w:lineRule="auto" w:line="360"/>
        <w:jc w:val="both"/>
        <w:rPr/>
      </w:pPr>
      <w:r>
        <w:rPr/>
        <w:t>ESCOPO DE TRABALHO</w:t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Manual de Instalação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Requisitos básicos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OpenDaylight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Mininet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MQTT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Aplicação em Python</w:t>
      </w:r>
    </w:p>
    <w:p>
      <w:pPr>
        <w:pStyle w:val="Normal"/>
        <w:widowControl w:val="false"/>
        <w:spacing w:lineRule="auto" w:line="360"/>
        <w:ind w:left="1080"/>
        <w:jc w:val="both"/>
        <w:rPr>
          <w:color w:val="C9211E"/>
        </w:rPr>
      </w:pPr>
      <w:r>
        <w:rPr>
          <w:b/>
          <w:color w:val="C9211E"/>
        </w:rPr>
        <w:t>&lt;Híbrido: documento + Vídeos&gt;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Q&amp;A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Manual de Uso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Introdução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Definições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Revisão literária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Metodologia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Configuração do ambiente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Inicialização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Monitoramento da execução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Coleta de resultados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Análise de desempenho</w:t>
      </w:r>
    </w:p>
    <w:p>
      <w:pPr>
        <w:pStyle w:val="Normal"/>
        <w:widowControl w:val="false"/>
        <w:numPr>
          <w:ilvl w:val="1"/>
          <w:numId w:val="1"/>
        </w:numPr>
        <w:spacing w:lineRule="auto" w:line="360"/>
        <w:jc w:val="both"/>
        <w:rPr>
          <w:color w:val="C9211E"/>
        </w:rPr>
      </w:pPr>
      <w:r>
        <w:rPr>
          <w:b/>
          <w:color w:val="C9211E"/>
        </w:rPr>
        <w:t>Q&amp;A</w:t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jc w:val="both"/>
        <w:rPr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360"/>
        <w:ind w:left="360"/>
        <w:jc w:val="both"/>
        <w:rPr>
          <w:b/>
        </w:rPr>
      </w:pPr>
      <w:r>
        <w:rPr>
          <w:b/>
        </w:rPr>
        <w:t>REFERÊNCIAS BIBLIOGRÁFICAS</w:t>
      </w:r>
    </w:p>
    <w:p>
      <w:pPr>
        <w:pStyle w:val="Normal"/>
        <w:widowControl w:val="false"/>
        <w:spacing w:lineRule="auto" w:line="360"/>
        <w:ind w:left="360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C9211E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  <w:t xml:space="preserve">BERA, Samaresh; MISRA Sudip; VASILAKOS, Athanasios V. </w:t>
      </w:r>
      <w:r>
        <w:rPr>
          <w:rFonts w:eastAsia="Arial" w:cs="Arial" w:ascii="Arial" w:hAnsi="Arial"/>
          <w:b/>
          <w:color w:val="C9211E"/>
          <w:highlight w:val="white"/>
          <w:lang w:val="en-US"/>
        </w:rPr>
        <w:t>Software-Defined Networking for Internet of Things: A Survey</w:t>
      </w:r>
      <w:r>
        <w:rPr>
          <w:rFonts w:eastAsia="Arial" w:cs="Arial" w:ascii="Arial" w:hAnsi="Arial"/>
          <w:color w:val="C9211E"/>
          <w:highlight w:val="white"/>
          <w:lang w:val="en-US"/>
        </w:rPr>
        <w:t xml:space="preserve"> in </w:t>
      </w:r>
      <w:r>
        <w:rPr>
          <w:rFonts w:eastAsia="Arial" w:cs="Arial" w:ascii="Arial" w:hAnsi="Arial"/>
          <w:i/>
          <w:color w:val="C9211E"/>
          <w:highlight w:val="white"/>
          <w:lang w:val="en-US"/>
        </w:rPr>
        <w:t>IEEE Internet of Things Journal</w:t>
      </w:r>
      <w:r>
        <w:rPr>
          <w:rFonts w:eastAsia="Arial" w:cs="Arial" w:ascii="Arial" w:hAnsi="Arial"/>
          <w:color w:val="C9211E"/>
          <w:highlight w:val="white"/>
          <w:lang w:val="en-US"/>
        </w:rPr>
        <w:t>, vol. 4, no. 6, pp. 1994-2008, Dec. 2017, doi: 10.1109/JIOT.2017.2746186.</w:t>
      </w:r>
    </w:p>
    <w:p>
      <w:pPr>
        <w:pStyle w:val="Normal"/>
        <w:rPr>
          <w:rFonts w:ascii="Arial" w:hAnsi="Arial" w:eastAsia="Arial" w:cs="Arial"/>
          <w:color w:val="C9211E"/>
          <w:highlight w:val="white"/>
          <w:lang w:val="en-US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</w:r>
    </w:p>
    <w:p>
      <w:pPr>
        <w:pStyle w:val="Normal"/>
        <w:rPr>
          <w:color w:val="C9211E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  <w:t xml:space="preserve">JARSCHEL, Michael; WAMSER, Florian; HOHN, Thomas; ZINNER, Thomas; TRAN-GIA, Phuoc. </w:t>
      </w:r>
      <w:r>
        <w:rPr>
          <w:rFonts w:eastAsia="Arial" w:cs="Arial" w:ascii="Arial" w:hAnsi="Arial"/>
          <w:b/>
          <w:color w:val="C9211E"/>
          <w:highlight w:val="white"/>
          <w:lang w:val="en-US"/>
        </w:rPr>
        <w:t>SDN-Based Application-Aware Networking on the Example of YouTube Video Streaming</w:t>
      </w:r>
      <w:r>
        <w:rPr>
          <w:rFonts w:eastAsia="Arial" w:cs="Arial" w:ascii="Arial" w:hAnsi="Arial"/>
          <w:color w:val="C9211E"/>
          <w:highlight w:val="white"/>
          <w:lang w:val="en-US"/>
        </w:rPr>
        <w:t>, 2013, doi:  87-92. 10.1109/EWSDN.2013.21.</w:t>
      </w:r>
    </w:p>
    <w:p>
      <w:pPr>
        <w:pStyle w:val="Normal"/>
        <w:rPr>
          <w:rFonts w:ascii="Arial" w:hAnsi="Arial" w:eastAsia="Arial" w:cs="Arial"/>
          <w:color w:val="C9211E"/>
          <w:lang w:val="en-US"/>
        </w:rPr>
      </w:pPr>
      <w:r>
        <w:rPr>
          <w:rFonts w:eastAsia="Arial" w:cs="Arial" w:ascii="Arial" w:hAnsi="Arial"/>
          <w:color w:val="C9211E"/>
          <w:lang w:val="en-US"/>
        </w:rPr>
      </w:r>
    </w:p>
    <w:p>
      <w:pPr>
        <w:pStyle w:val="Normal"/>
        <w:rPr>
          <w:color w:val="C9211E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  <w:t xml:space="preserve">JUN-HONG, Park; HYEONG-SU, Kim; WON-TAE, Kim. DM-MQTT: </w:t>
      </w:r>
      <w:r>
        <w:rPr>
          <w:rFonts w:eastAsia="Arial" w:cs="Arial" w:ascii="Arial" w:hAnsi="Arial"/>
          <w:b/>
          <w:color w:val="C9211E"/>
          <w:highlight w:val="white"/>
          <w:lang w:val="en-US"/>
        </w:rPr>
        <w:t>An Efficient MQTT Based on SDN Multicast for Massive IoT Communications</w:t>
      </w:r>
      <w:r>
        <w:rPr>
          <w:rFonts w:eastAsia="Arial" w:cs="Arial" w:ascii="Arial" w:hAnsi="Arial"/>
          <w:color w:val="C9211E"/>
          <w:highlight w:val="white"/>
          <w:lang w:val="en-US"/>
        </w:rPr>
        <w:t xml:space="preserve">, </w:t>
      </w:r>
      <w:r>
        <w:rPr>
          <w:rFonts w:eastAsia="Arial" w:cs="Arial" w:ascii="Arial" w:hAnsi="Arial"/>
          <w:i/>
          <w:color w:val="C9211E"/>
          <w:highlight w:val="white"/>
          <w:lang w:val="en-US"/>
        </w:rPr>
        <w:t>Sensors</w:t>
      </w:r>
      <w:r>
        <w:rPr>
          <w:rFonts w:eastAsia="Arial" w:cs="Arial" w:ascii="Arial" w:hAnsi="Arial"/>
          <w:color w:val="C9211E"/>
          <w:highlight w:val="white"/>
          <w:lang w:val="en-US"/>
        </w:rPr>
        <w:t xml:space="preserve"> 18, no. 9: 3071, 2018.</w:t>
      </w:r>
    </w:p>
    <w:p>
      <w:pPr>
        <w:pStyle w:val="Normal"/>
        <w:rPr>
          <w:rFonts w:ascii="Arial" w:hAnsi="Arial" w:eastAsia="Arial" w:cs="Arial"/>
          <w:color w:val="C9211E"/>
          <w:highlight w:val="white"/>
          <w:lang w:val="en-US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</w:r>
    </w:p>
    <w:p>
      <w:pPr>
        <w:pStyle w:val="Normal"/>
        <w:rPr>
          <w:color w:val="C9211E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  <w:t xml:space="preserve">KREUTZ, D.; RAMOS, F. M. V.; VERÍSSIMO, P. E.; ROTHENBERG, C. E.; AZODOLMOLKY, S.; UHHLIG, S. </w:t>
      </w:r>
      <w:r>
        <w:rPr>
          <w:rFonts w:eastAsia="Arial" w:cs="Arial" w:ascii="Arial" w:hAnsi="Arial"/>
          <w:b/>
          <w:color w:val="C9211E"/>
          <w:highlight w:val="white"/>
          <w:lang w:val="en-US"/>
        </w:rPr>
        <w:t>Software-Defined Networking: A Comprehensive Survey</w:t>
      </w:r>
      <w:r>
        <w:rPr>
          <w:rFonts w:eastAsia="Arial" w:cs="Arial" w:ascii="Arial" w:hAnsi="Arial"/>
          <w:color w:val="C9211E"/>
          <w:highlight w:val="white"/>
          <w:lang w:val="en-US"/>
        </w:rPr>
        <w:t xml:space="preserve">, in </w:t>
      </w:r>
      <w:r>
        <w:rPr>
          <w:rFonts w:eastAsia="Arial" w:cs="Arial" w:ascii="Arial" w:hAnsi="Arial"/>
          <w:i/>
          <w:color w:val="C9211E"/>
          <w:highlight w:val="white"/>
          <w:lang w:val="en-US"/>
        </w:rPr>
        <w:t>Proceedings of the IEEE</w:t>
      </w:r>
      <w:r>
        <w:rPr>
          <w:rFonts w:eastAsia="Arial" w:cs="Arial" w:ascii="Arial" w:hAnsi="Arial"/>
          <w:color w:val="C9211E"/>
          <w:highlight w:val="white"/>
          <w:lang w:val="en-US"/>
        </w:rPr>
        <w:t>, vol. 103, no. 1, pp. 14-76, Jan. 2015, doi: 10.1109/JPROC.2014.2371999.</w:t>
      </w:r>
    </w:p>
    <w:p>
      <w:pPr>
        <w:pStyle w:val="Normal"/>
        <w:rPr>
          <w:rFonts w:ascii="Arial" w:hAnsi="Arial" w:eastAsia="Arial" w:cs="Arial"/>
          <w:color w:val="C9211E"/>
          <w:highlight w:val="white"/>
          <w:lang w:val="en-US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</w:r>
    </w:p>
    <w:p>
      <w:pPr>
        <w:pStyle w:val="Normal"/>
        <w:rPr>
          <w:color w:val="C9211E"/>
        </w:rPr>
      </w:pPr>
      <w:r>
        <w:rPr>
          <w:rFonts w:eastAsia="Arial" w:cs="Arial" w:ascii="Arial" w:hAnsi="Arial"/>
          <w:color w:val="C9211E"/>
          <w:lang w:val="en-US"/>
        </w:rPr>
        <w:t xml:space="preserve">LANTZ, Bob; O’CONNOR Brian. </w:t>
      </w:r>
      <w:r>
        <w:rPr>
          <w:rFonts w:eastAsia="Arial" w:cs="Arial" w:ascii="Arial" w:hAnsi="Arial"/>
          <w:b/>
          <w:color w:val="C9211E"/>
          <w:lang w:val="en-US"/>
        </w:rPr>
        <w:t>A Mininet-based Virtual Testbed for Distributed SDN Development</w:t>
      </w:r>
      <w:r>
        <w:rPr>
          <w:rFonts w:eastAsia="Arial" w:cs="Arial" w:ascii="Arial" w:hAnsi="Arial"/>
          <w:color w:val="C9211E"/>
          <w:lang w:val="en-US"/>
        </w:rPr>
        <w:t xml:space="preserve">. </w:t>
      </w:r>
      <w:r>
        <w:rPr>
          <w:rFonts w:eastAsia="Arial" w:cs="Arial" w:ascii="Arial" w:hAnsi="Arial"/>
          <w:color w:val="C9211E"/>
        </w:rPr>
        <w:t xml:space="preserve">SIGCOMM Comput. Commun. </w:t>
      </w:r>
      <w:r>
        <w:rPr>
          <w:rFonts w:eastAsia="Arial" w:cs="Arial" w:ascii="Arial" w:hAnsi="Arial"/>
          <w:color w:val="C9211E"/>
          <w:lang w:val="en-US"/>
        </w:rPr>
        <w:t>Rev. 45, 4 (October 2015), 365–366, 2015 doi: 10.1145/2829988.2790030</w:t>
      </w:r>
    </w:p>
    <w:p>
      <w:pPr>
        <w:pStyle w:val="Normal"/>
        <w:rPr>
          <w:rFonts w:ascii="Arial" w:hAnsi="Arial" w:eastAsia="Arial" w:cs="Arial"/>
          <w:color w:val="C9211E"/>
          <w:lang w:val="en-US"/>
        </w:rPr>
      </w:pPr>
      <w:r>
        <w:rPr>
          <w:rFonts w:eastAsia="Arial" w:cs="Arial" w:ascii="Arial" w:hAnsi="Arial"/>
          <w:color w:val="C9211E"/>
          <w:lang w:val="en-US"/>
        </w:rPr>
      </w:r>
    </w:p>
    <w:p>
      <w:pPr>
        <w:pStyle w:val="Normal"/>
        <w:rPr>
          <w:color w:val="C9211E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  <w:t xml:space="preserve">LARA, A.; KOLASANI, A.; RAMAMURTHY, B. </w:t>
      </w:r>
      <w:r>
        <w:rPr>
          <w:rFonts w:eastAsia="Arial" w:cs="Arial" w:ascii="Arial" w:hAnsi="Arial"/>
          <w:b/>
          <w:color w:val="C9211E"/>
          <w:highlight w:val="white"/>
          <w:lang w:val="en-US"/>
        </w:rPr>
        <w:t>Network Innovation using OpenFlow: A Survey</w:t>
      </w:r>
      <w:r>
        <w:rPr>
          <w:rFonts w:eastAsia="Arial" w:cs="Arial" w:ascii="Arial" w:hAnsi="Arial"/>
          <w:color w:val="C9211E"/>
          <w:highlight w:val="white"/>
          <w:lang w:val="en-US"/>
        </w:rPr>
        <w:t xml:space="preserve">, in </w:t>
      </w:r>
      <w:r>
        <w:rPr>
          <w:rFonts w:eastAsia="Arial" w:cs="Arial" w:ascii="Arial" w:hAnsi="Arial"/>
          <w:i/>
          <w:color w:val="C9211E"/>
          <w:highlight w:val="white"/>
          <w:lang w:val="en-US"/>
        </w:rPr>
        <w:t>IEEE Communications Surveys &amp; Tutorials</w:t>
      </w:r>
      <w:r>
        <w:rPr>
          <w:rFonts w:eastAsia="Arial" w:cs="Arial" w:ascii="Arial" w:hAnsi="Arial"/>
          <w:color w:val="C9211E"/>
          <w:highlight w:val="white"/>
          <w:lang w:val="en-US"/>
        </w:rPr>
        <w:t>, vol. 16, no. 1, pp. 493-512, First Quarter 2014, doi: 10.1109/SURV.2013.081313.00105.</w:t>
      </w:r>
    </w:p>
    <w:p>
      <w:pPr>
        <w:pStyle w:val="Normal"/>
        <w:rPr>
          <w:rFonts w:ascii="Arial" w:hAnsi="Arial" w:eastAsia="Arial" w:cs="Arial"/>
          <w:color w:val="C9211E"/>
          <w:highlight w:val="white"/>
          <w:lang w:val="en-US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</w:r>
    </w:p>
    <w:p>
      <w:pPr>
        <w:pStyle w:val="Normal"/>
        <w:rPr>
          <w:color w:val="C9211E"/>
        </w:rPr>
      </w:pPr>
      <w:r>
        <w:rPr>
          <w:rFonts w:eastAsia="Arial" w:cs="Arial" w:ascii="Arial" w:hAnsi="Arial"/>
          <w:color w:val="C9211E"/>
          <w:highlight w:val="white"/>
          <w:lang w:val="en-US"/>
        </w:rPr>
        <w:t xml:space="preserve">OLIVEIRA, A. T.; MARTINS, B. J. C. A.; MORENO, M. F.; VIEIRA, A. B.; GOMES, A. T. A.; Ziviani, A. </w:t>
      </w:r>
      <w:r>
        <w:rPr>
          <w:rFonts w:eastAsia="Arial" w:cs="Arial" w:ascii="Arial" w:hAnsi="Arial"/>
          <w:b/>
          <w:color w:val="C9211E"/>
          <w:highlight w:val="white"/>
          <w:lang w:val="en-US"/>
        </w:rPr>
        <w:t>SDN-Based Architecture for Providing QoS to High Performance Distributed Applications</w:t>
      </w:r>
      <w:r>
        <w:rPr>
          <w:rFonts w:eastAsia="Arial" w:cs="Arial" w:ascii="Arial" w:hAnsi="Arial"/>
          <w:color w:val="C9211E"/>
          <w:highlight w:val="white"/>
          <w:lang w:val="en-US"/>
        </w:rPr>
        <w:t xml:space="preserve">. </w:t>
      </w:r>
      <w:r>
        <w:rPr>
          <w:rFonts w:eastAsia="Arial" w:cs="Arial" w:ascii="Arial" w:hAnsi="Arial"/>
          <w:i/>
          <w:color w:val="C9211E"/>
          <w:highlight w:val="white"/>
          <w:lang w:val="en-US"/>
        </w:rPr>
        <w:t>IEEE Symposium on Computers and Communications (ISCC)</w:t>
      </w:r>
      <w:r>
        <w:rPr>
          <w:rFonts w:eastAsia="Arial" w:cs="Arial" w:ascii="Arial" w:hAnsi="Arial"/>
          <w:color w:val="C9211E"/>
          <w:highlight w:val="white"/>
          <w:lang w:val="en-US"/>
        </w:rPr>
        <w:t>, Natal, 2018, pp. 00602-00607, 2018, doi: 10.1109/ISCC.2018.8538694.</w:t>
      </w:r>
    </w:p>
    <w:p>
      <w:pPr>
        <w:pStyle w:val="Normal"/>
        <w:pBdr/>
        <w:spacing w:before="0" w:after="120"/>
        <w:rPr>
          <w:rFonts w:ascii="Arial" w:hAnsi="Arial" w:eastAsia="Arial" w:cs="Arial"/>
          <w:color w:val="FF4000"/>
          <w:lang w:val="en-US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140" w:after="120"/>
      <w:outlineLvl w:val="2"/>
    </w:pPr>
    <w:rPr>
      <w:rFonts w:ascii="Liberation Sans" w:hAnsi="Liberation Sans" w:eastAsia="Liberation Sans" w:cs="Liberation San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spacing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spacing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LibreOffice/24.2.7.2$Linux_X86_64 LibreOffice_project/420$Build-2</Application>
  <AppVersion>15.0000</AppVersion>
  <Pages>3</Pages>
  <Words>486</Words>
  <Characters>2949</Characters>
  <CharactersWithSpaces>3397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2024-05-02T14:43:00Z</dcterms:created>
  <dc:creator/>
  <dc:description/>
  <dc:language>pt-BR</dc:language>
  <cp:lastModifiedBy/>
  <dcterms:modified xsi:type="dcterms:W3CDTF">2025-04-22T14:39:43Z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