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453" w:rsidRPr="00481453" w:rsidRDefault="00481453" w:rsidP="00E3481E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244061" w:themeColor="accent1" w:themeShade="80"/>
          <w:sz w:val="96"/>
          <w:szCs w:val="96"/>
          <w:lang w:eastAsia="pt-BR"/>
        </w:rPr>
      </w:pPr>
      <w:r w:rsidRPr="00481453">
        <w:rPr>
          <w:rFonts w:ascii="Arial" w:eastAsia="Times New Roman" w:hAnsi="Arial" w:cs="Arial"/>
          <w:b/>
          <w:bCs/>
          <w:color w:val="244061" w:themeColor="accent1" w:themeShade="80"/>
          <w:sz w:val="96"/>
          <w:szCs w:val="96"/>
          <w:lang w:eastAsia="pt-BR"/>
        </w:rPr>
        <w:t>Robótica.</w:t>
      </w:r>
    </w:p>
    <w:p w:rsidR="00FE63EB" w:rsidRPr="00E3481E" w:rsidRDefault="00FE63EB" w:rsidP="00E3481E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632423" w:themeColor="accent2" w:themeShade="80"/>
          <w:sz w:val="72"/>
          <w:szCs w:val="72"/>
          <w:lang w:eastAsia="pt-BR"/>
        </w:rPr>
      </w:pPr>
      <w:r w:rsidRPr="00E3481E">
        <w:rPr>
          <w:rFonts w:ascii="Arial" w:eastAsia="Times New Roman" w:hAnsi="Arial" w:cs="Arial"/>
          <w:b/>
          <w:bCs/>
          <w:color w:val="632423" w:themeColor="accent2" w:themeShade="80"/>
          <w:sz w:val="72"/>
          <w:szCs w:val="72"/>
          <w:lang w:eastAsia="pt-BR"/>
        </w:rPr>
        <w:t>Sobre a Rodoviária da Barra do Piraí</w:t>
      </w:r>
      <w:r w:rsidR="00481453">
        <w:rPr>
          <w:rFonts w:ascii="Arial" w:eastAsia="Times New Roman" w:hAnsi="Arial" w:cs="Arial"/>
          <w:b/>
          <w:bCs/>
          <w:color w:val="632423" w:themeColor="accent2" w:themeShade="80"/>
          <w:sz w:val="72"/>
          <w:szCs w:val="72"/>
          <w:lang w:eastAsia="pt-BR"/>
        </w:rPr>
        <w:t>.</w:t>
      </w:r>
    </w:p>
    <w:p w:rsidR="00E3481E" w:rsidRPr="00E3481E" w:rsidRDefault="00E3481E" w:rsidP="00FE63E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</w:pPr>
      <w:r w:rsidRPr="00E3481E"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  <w:t>História da rodoviária</w:t>
      </w:r>
      <w:r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  <w:t>:</w:t>
      </w:r>
    </w:p>
    <w:p w:rsidR="00FE63EB" w:rsidRPr="00E3481E" w:rsidRDefault="00FE63EB" w:rsidP="00FE63E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</w:pPr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>O Terminal Rodoviário de </w:t>
      </w:r>
      <w:r w:rsidRPr="00481453">
        <w:rPr>
          <w:rFonts w:ascii="Arial" w:eastAsia="Times New Roman" w:hAnsi="Arial" w:cs="Arial"/>
          <w:b/>
          <w:bCs/>
          <w:color w:val="244061" w:themeColor="accent1" w:themeShade="80"/>
          <w:sz w:val="24"/>
          <w:szCs w:val="24"/>
          <w:lang w:eastAsia="pt-BR"/>
        </w:rPr>
        <w:t>Barra do Piraí</w:t>
      </w:r>
      <w:r w:rsidRPr="00481453">
        <w:rPr>
          <w:rFonts w:ascii="Arial" w:eastAsia="Times New Roman" w:hAnsi="Arial" w:cs="Arial"/>
          <w:b/>
          <w:color w:val="244061" w:themeColor="accent1" w:themeShade="80"/>
          <w:sz w:val="24"/>
          <w:szCs w:val="24"/>
          <w:lang w:eastAsia="pt-BR"/>
        </w:rPr>
        <w:t> </w:t>
      </w:r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 xml:space="preserve">está localizado no centro da cidade, próximo à Câmara Municipal. Inaugurado sob o nome oficial de Terminal Rodoviário Roberto Silveira, foi construído no mesmo lugar da antiga estação ferroviária. São 13 viações que fazem o trajeto, sendo elas </w:t>
      </w:r>
      <w:proofErr w:type="spellStart"/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>Salutaris</w:t>
      </w:r>
      <w:proofErr w:type="spellEnd"/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 xml:space="preserve">, </w:t>
      </w:r>
      <w:proofErr w:type="spellStart"/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>Util</w:t>
      </w:r>
      <w:proofErr w:type="spellEnd"/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 xml:space="preserve">, Viação </w:t>
      </w:r>
      <w:proofErr w:type="spellStart"/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>Açailandia</w:t>
      </w:r>
      <w:proofErr w:type="spellEnd"/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 xml:space="preserve">, Cometa, Viação Cruzeiro, Viação Estrela, Garcia, Viação </w:t>
      </w:r>
      <w:proofErr w:type="spellStart"/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>Goiania</w:t>
      </w:r>
      <w:proofErr w:type="spellEnd"/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>, Viação Motta, Viação Rápido Brasil, Rio Doce, Viação São Cristóvão e Xavante. Entre os principais destinos estão Angra dos Reis, São Paulo e Salvador.</w:t>
      </w:r>
    </w:p>
    <w:p w:rsidR="00FE63EB" w:rsidRDefault="00FE63EB" w:rsidP="00FE63E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</w:pPr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>A Estrutura do Terminal Rodoviário de Barra do Piraí é antiga e pequena, por isso ela não conta com plataformas especiais para os ônibus, que param na rua, um atrás o outro. Há um espaço para espera com bancos azuis, dentro e fora da rodoviária. O comércio da região é bem amplo, com várias lanchonetes, padarias, bancas de jornais e revistas e quiosques de pipoca e tapioca. Na entrada da rodoviária estão localizados dois telefones públicos. Há também sanitários, feminino e mas</w:t>
      </w:r>
      <w:r w:rsidR="00481453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 xml:space="preserve">culino e ponto de táxi, próximo </w:t>
      </w:r>
      <w:proofErr w:type="spellStart"/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>a</w:t>
      </w:r>
      <w:proofErr w:type="spellEnd"/>
      <w:r w:rsidR="00481453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 xml:space="preserve"> </w:t>
      </w:r>
      <w:r w:rsidRPr="00E3481E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>praça.</w:t>
      </w:r>
    </w:p>
    <w:p w:rsidR="00E3481E" w:rsidRDefault="00E3481E" w:rsidP="00FE63E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</w:pPr>
      <w:r w:rsidRPr="00E3481E"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  <w:t xml:space="preserve">Planta da </w:t>
      </w:r>
      <w:r w:rsidRPr="00E3481E"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  <w:t>rodoviária</w:t>
      </w:r>
      <w:r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  <w:t>:</w:t>
      </w:r>
    </w:p>
    <w:p w:rsidR="00E3481E" w:rsidRDefault="008E650E" w:rsidP="00FE63E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noProof/>
          <w:color w:val="C0504D" w:themeColor="accent2"/>
          <w:sz w:val="36"/>
          <w:szCs w:val="36"/>
          <w:lang w:eastAsia="pt-BR"/>
        </w:rPr>
        <w:drawing>
          <wp:inline distT="0" distB="0" distL="0" distR="0">
            <wp:extent cx="2154637" cy="1212111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b1f268f-59c4-4cc6-a10b-6e1a36309fff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381" cy="122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  <w:t xml:space="preserve">                  </w:t>
      </w:r>
      <w:r>
        <w:rPr>
          <w:rFonts w:ascii="Arial" w:eastAsia="Times New Roman" w:hAnsi="Arial" w:cs="Arial"/>
          <w:b/>
          <w:noProof/>
          <w:color w:val="C0504D" w:themeColor="accent2"/>
          <w:sz w:val="36"/>
          <w:szCs w:val="36"/>
          <w:lang w:eastAsia="pt-BR"/>
        </w:rPr>
        <w:drawing>
          <wp:inline distT="0" distB="0" distL="0" distR="0">
            <wp:extent cx="2094614" cy="1178344"/>
            <wp:effectExtent l="0" t="0" r="127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7402414-9399-4c82-9fcf-fde019f6564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861" cy="119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50E" w:rsidRDefault="008E650E" w:rsidP="00FE63E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noProof/>
          <w:color w:val="C0504D" w:themeColor="accent2"/>
          <w:sz w:val="36"/>
          <w:szCs w:val="36"/>
          <w:lang w:eastAsia="pt-BR"/>
        </w:rPr>
        <w:drawing>
          <wp:inline distT="0" distB="0" distL="0" distR="0">
            <wp:extent cx="2135739" cy="120147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b3626e1-ca61-4250-b735-41002c89c668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294" cy="123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  <w:t xml:space="preserve">                  </w:t>
      </w:r>
      <w:r>
        <w:rPr>
          <w:rFonts w:ascii="Arial" w:eastAsia="Times New Roman" w:hAnsi="Arial" w:cs="Arial"/>
          <w:b/>
          <w:noProof/>
          <w:color w:val="C0504D" w:themeColor="accent2"/>
          <w:sz w:val="36"/>
          <w:szCs w:val="36"/>
          <w:lang w:eastAsia="pt-BR"/>
        </w:rPr>
        <w:drawing>
          <wp:inline distT="0" distB="0" distL="0" distR="0">
            <wp:extent cx="2105247" cy="1184326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8b8656e-22f2-46e1-aa4a-9fc23d67025b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992" cy="121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50E" w:rsidRDefault="008E650E" w:rsidP="00FE63E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</w:pPr>
    </w:p>
    <w:p w:rsidR="00481453" w:rsidRDefault="00481453" w:rsidP="00FE63E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943634" w:themeColor="accent2" w:themeShade="BF"/>
          <w:sz w:val="36"/>
          <w:szCs w:val="36"/>
          <w:lang w:eastAsia="pt-BR"/>
        </w:rPr>
      </w:pPr>
    </w:p>
    <w:p w:rsidR="0063539B" w:rsidRPr="00481453" w:rsidRDefault="00431ED4" w:rsidP="00FE63E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color w:val="4D4D4D"/>
          <w:sz w:val="24"/>
          <w:szCs w:val="24"/>
          <w:shd w:val="clear" w:color="auto" w:fill="FFFFFF"/>
        </w:rPr>
      </w:pPr>
      <w:r w:rsidRPr="00431ED4">
        <w:rPr>
          <w:rFonts w:ascii="Arial" w:hAnsi="Arial" w:cs="Arial"/>
          <w:b/>
          <w:color w:val="4D4D4D"/>
          <w:sz w:val="24"/>
          <w:szCs w:val="24"/>
          <w:shd w:val="clear" w:color="auto" w:fill="FFFFFF"/>
        </w:rPr>
        <w:t> </w:t>
      </w:r>
      <w:r w:rsidR="008E650E" w:rsidRPr="0063539B">
        <w:rPr>
          <w:rFonts w:ascii="Arial" w:hAnsi="Arial" w:cs="Arial"/>
          <w:b/>
          <w:color w:val="943634" w:themeColor="accent2" w:themeShade="BF"/>
          <w:sz w:val="32"/>
          <w:szCs w:val="32"/>
        </w:rPr>
        <w:t>Energia Cinética</w:t>
      </w:r>
    </w:p>
    <w:p w:rsidR="0063539B" w:rsidRPr="0063539B" w:rsidRDefault="008E650E" w:rsidP="00FE63E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color w:val="D99594" w:themeColor="accent2" w:themeTint="99"/>
          <w:sz w:val="24"/>
          <w:szCs w:val="24"/>
        </w:rPr>
      </w:pPr>
      <w:r w:rsidRPr="0063539B">
        <w:rPr>
          <w:rFonts w:ascii="Arial" w:hAnsi="Arial" w:cs="Arial"/>
          <w:b/>
          <w:color w:val="D99594" w:themeColor="accent2" w:themeTint="99"/>
          <w:sz w:val="24"/>
          <w:szCs w:val="24"/>
        </w:rPr>
        <w:t xml:space="preserve"> •</w:t>
      </w:r>
      <w:r w:rsidR="0063539B" w:rsidRPr="0063539B">
        <w:rPr>
          <w:rFonts w:ascii="Arial" w:hAnsi="Arial" w:cs="Arial"/>
          <w:b/>
          <w:color w:val="D99594" w:themeColor="accent2" w:themeTint="99"/>
          <w:sz w:val="24"/>
          <w:szCs w:val="24"/>
        </w:rPr>
        <w:t xml:space="preserve"> Surgimento da energia cinética.</w:t>
      </w:r>
    </w:p>
    <w:p w:rsidR="0063539B" w:rsidRDefault="0063539B">
      <w:pPr>
        <w:rPr>
          <w:rFonts w:ascii="Arial" w:hAnsi="Arial" w:cs="Arial"/>
          <w:b/>
          <w:sz w:val="24"/>
          <w:szCs w:val="24"/>
        </w:rPr>
      </w:pPr>
      <w:r w:rsidRPr="0063539B">
        <w:rPr>
          <w:rFonts w:ascii="Arial" w:hAnsi="Arial" w:cs="Arial"/>
          <w:b/>
          <w:sz w:val="24"/>
          <w:szCs w:val="24"/>
        </w:rPr>
        <w:t xml:space="preserve">Na física, a </w:t>
      </w:r>
      <w:r w:rsidRPr="00481453">
        <w:rPr>
          <w:rFonts w:ascii="Arial" w:hAnsi="Arial" w:cs="Arial"/>
          <w:b/>
          <w:color w:val="244061" w:themeColor="accent1" w:themeShade="80"/>
          <w:sz w:val="24"/>
          <w:szCs w:val="24"/>
        </w:rPr>
        <w:t xml:space="preserve">energia cinética </w:t>
      </w:r>
      <w:r w:rsidRPr="0063539B">
        <w:rPr>
          <w:rFonts w:ascii="Arial" w:hAnsi="Arial" w:cs="Arial"/>
          <w:b/>
          <w:sz w:val="24"/>
          <w:szCs w:val="24"/>
        </w:rPr>
        <w:t>em um objeto é a energia que ele possui devido ao seu movimento.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81453">
        <w:rPr>
          <w:rFonts w:ascii="Arial" w:hAnsi="Arial" w:cs="Arial"/>
          <w:b/>
          <w:color w:val="244061" w:themeColor="accent1" w:themeShade="80"/>
          <w:sz w:val="24"/>
          <w:szCs w:val="24"/>
        </w:rPr>
        <w:t xml:space="preserve">[1] </w:t>
      </w:r>
      <w:r w:rsidRPr="0063539B">
        <w:rPr>
          <w:rFonts w:ascii="Arial" w:hAnsi="Arial" w:cs="Arial"/>
          <w:b/>
          <w:sz w:val="24"/>
          <w:szCs w:val="24"/>
        </w:rPr>
        <w:t xml:space="preserve">Isto é definido como o trabalho necessário para acelerar um corpo de massa em repouso para que este adquira velocidade. Tendo ganho essa energia durante a </w:t>
      </w:r>
      <w:r w:rsidRPr="00481453">
        <w:rPr>
          <w:rFonts w:ascii="Arial" w:hAnsi="Arial" w:cs="Arial"/>
          <w:b/>
          <w:color w:val="244061" w:themeColor="accent1" w:themeShade="80"/>
          <w:sz w:val="24"/>
          <w:szCs w:val="24"/>
        </w:rPr>
        <w:t>aceleração</w:t>
      </w:r>
      <w:r w:rsidRPr="0063539B">
        <w:rPr>
          <w:rFonts w:ascii="Arial" w:hAnsi="Arial" w:cs="Arial"/>
          <w:b/>
          <w:sz w:val="24"/>
          <w:szCs w:val="24"/>
        </w:rPr>
        <w:t xml:space="preserve">, o corpo mantém essa energia cinética a menos que a sua velocidade mude. A mesma quantidade de trabalho é produzido por um corpo desacelerando da sua velocidade </w:t>
      </w:r>
      <w:r>
        <w:rPr>
          <w:rFonts w:ascii="Arial" w:hAnsi="Arial" w:cs="Arial"/>
          <w:b/>
          <w:sz w:val="24"/>
          <w:szCs w:val="24"/>
        </w:rPr>
        <w:t>atual para um estado de repouso.</w:t>
      </w:r>
    </w:p>
    <w:p w:rsidR="0063539B" w:rsidRPr="0063539B" w:rsidRDefault="0063539B">
      <w:pPr>
        <w:rPr>
          <w:rFonts w:ascii="Arial" w:hAnsi="Arial" w:cs="Arial"/>
          <w:b/>
          <w:color w:val="D99594" w:themeColor="accent2" w:themeTint="99"/>
          <w:sz w:val="24"/>
          <w:szCs w:val="24"/>
        </w:rPr>
      </w:pPr>
      <w:r w:rsidRPr="0063539B">
        <w:rPr>
          <w:rFonts w:ascii="Arial" w:hAnsi="Arial" w:cs="Arial"/>
          <w:b/>
          <w:color w:val="D99594" w:themeColor="accent2" w:themeTint="99"/>
          <w:sz w:val="24"/>
          <w:szCs w:val="24"/>
        </w:rPr>
        <w:t>• Custo.</w:t>
      </w:r>
    </w:p>
    <w:p w:rsidR="0063539B" w:rsidRDefault="0063539B">
      <w:pPr>
        <w:rPr>
          <w:rFonts w:ascii="Arial" w:hAnsi="Arial" w:cs="Arial"/>
          <w:b/>
          <w:sz w:val="24"/>
          <w:szCs w:val="24"/>
        </w:rPr>
      </w:pPr>
      <w:r w:rsidRPr="0063539B">
        <w:rPr>
          <w:rFonts w:ascii="Arial" w:hAnsi="Arial" w:cs="Arial"/>
          <w:b/>
          <w:sz w:val="24"/>
          <w:szCs w:val="24"/>
        </w:rPr>
        <w:t>Em nossos estudos sobre energia vimos que o trabalho de uma força nada mais é do que uma maneira de medir a quantidade de energia transferida ou transformada de um sistema para outro. Este artigo tentará explicar o assunto de forma simples, realizando os cálculos do trabalho através da variação da energia cinética de um sistema.</w:t>
      </w:r>
    </w:p>
    <w:p w:rsidR="0063539B" w:rsidRDefault="0063539B">
      <w:pPr>
        <w:rPr>
          <w:rFonts w:ascii="Arial" w:hAnsi="Arial" w:cs="Arial"/>
          <w:b/>
          <w:sz w:val="24"/>
          <w:szCs w:val="24"/>
        </w:rPr>
      </w:pPr>
      <w:r w:rsidRPr="0063539B">
        <w:rPr>
          <w:rFonts w:ascii="Arial" w:hAnsi="Arial" w:cs="Arial"/>
          <w:b/>
          <w:sz w:val="24"/>
          <w:szCs w:val="24"/>
        </w:rPr>
        <w:t>Vamos calcular o trabalho de uma força na seguinte situação: um automóvel de massa 6 000 kg, cuja velocidade é 15 m/s, ou seja, 54 km/h, recebe uma força exercida em seu freio, de intensidade média de 16 000 N. Essa força possui a mesma direção e sentido contrário ao deslocamento do automóvel e faz com que ele pare depois de um</w:t>
      </w:r>
      <w:r>
        <w:rPr>
          <w:rFonts w:ascii="Arial" w:hAnsi="Arial" w:cs="Arial"/>
          <w:b/>
          <w:sz w:val="24"/>
          <w:szCs w:val="24"/>
        </w:rPr>
        <w:t>a distância aproximada de 60 m.</w:t>
      </w:r>
    </w:p>
    <w:p w:rsidR="005924CC" w:rsidRPr="0063539B" w:rsidRDefault="0063539B">
      <w:pPr>
        <w:rPr>
          <w:rFonts w:ascii="Arial" w:hAnsi="Arial" w:cs="Arial"/>
          <w:b/>
          <w:sz w:val="24"/>
          <w:szCs w:val="24"/>
        </w:rPr>
      </w:pPr>
      <w:r w:rsidRPr="0063539B">
        <w:rPr>
          <w:rFonts w:ascii="Arial" w:hAnsi="Arial" w:cs="Arial"/>
          <w:b/>
          <w:sz w:val="24"/>
          <w:szCs w:val="24"/>
        </w:rPr>
        <w:t>Com base nessas informações cedidas acima, primeiramente vamos determinar o valor das energias cinética final e inicial do automóvel. De acordo com a massa e as velocidades inicial e final</w:t>
      </w:r>
      <w:r>
        <w:rPr>
          <w:rFonts w:ascii="Arial" w:hAnsi="Arial" w:cs="Arial"/>
          <w:b/>
          <w:sz w:val="24"/>
          <w:szCs w:val="24"/>
        </w:rPr>
        <w:t>.</w:t>
      </w:r>
    </w:p>
    <w:p w:rsidR="00FE63EB" w:rsidRPr="0063539B" w:rsidRDefault="00FE63EB">
      <w:pPr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</w:p>
    <w:p w:rsidR="00FE63EB" w:rsidRPr="0063539B" w:rsidRDefault="00FE63EB">
      <w:pPr>
        <w:rPr>
          <w:sz w:val="24"/>
          <w:szCs w:val="24"/>
        </w:rPr>
      </w:pPr>
      <w:bookmarkStart w:id="0" w:name="_GoBack"/>
      <w:bookmarkEnd w:id="0"/>
    </w:p>
    <w:sectPr w:rsidR="00FE63EB" w:rsidRPr="006353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3EB"/>
    <w:rsid w:val="0031563F"/>
    <w:rsid w:val="00431ED4"/>
    <w:rsid w:val="00481453"/>
    <w:rsid w:val="005924CC"/>
    <w:rsid w:val="0063539B"/>
    <w:rsid w:val="008E650E"/>
    <w:rsid w:val="00E3481E"/>
    <w:rsid w:val="00FE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C203BE-984F-45F1-A462-84EC7AAD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3156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5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</dc:creator>
  <cp:lastModifiedBy>Nicole</cp:lastModifiedBy>
  <cp:revision>2</cp:revision>
  <dcterms:created xsi:type="dcterms:W3CDTF">2019-09-01T01:49:00Z</dcterms:created>
  <dcterms:modified xsi:type="dcterms:W3CDTF">2019-09-01T01:49:00Z</dcterms:modified>
</cp:coreProperties>
</file>