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7c9e9e93a387d8c47298893ebbc681f5496f2e"/>
    <w:p>
      <w:pPr>
        <w:pStyle w:val="Heading1"/>
      </w:pPr>
      <w:r>
        <w:t xml:space="preserve">Exercício 29 – O Abismo entre o Deploy e o Valor</w:t>
      </w:r>
    </w:p>
    <w:bookmarkStart w:id="30" w:name="X41a07ba5fb52eb6f754fb8f7800ce30617610bc"/>
    <w:p>
      <w:pPr>
        <w:pStyle w:val="Heading2"/>
      </w:pPr>
      <w:r>
        <w:t xml:space="preserve">Estudo de Caso: O</w:t>
      </w:r>
      <w:r>
        <w:t xml:space="preserve"> </w:t>
      </w:r>
      <w:r>
        <w:t xml:space="preserve">“Falso Positivo”</w:t>
      </w:r>
      <w:r>
        <w:t xml:space="preserve"> </w:t>
      </w:r>
      <w:r>
        <w:t xml:space="preserve">na Black Friday</w:t>
      </w:r>
    </w:p>
    <w:bookmarkStart w:id="20" w:name="o-paradigma-dos-silos-e-a-cultura-devops"/>
    <w:p>
      <w:pPr>
        <w:pStyle w:val="Heading3"/>
      </w:pPr>
      <w:r>
        <w:t xml:space="preserve">1. O Paradigma dos Silos e a Cultura DevOps</w:t>
      </w:r>
    </w:p>
    <w:p>
      <w:pPr>
        <w:pStyle w:val="FirstParagraph"/>
      </w:pPr>
      <w:r>
        <w:t xml:space="preserve">O comportamento dos líderes de Desenvolvimento (Dev) e Operações (Ops) demonstra uma mentalidade de silos, exatamente o oposto do que prega a cultura DevOps.</w:t>
      </w:r>
    </w:p>
    <w:p>
      <w:pPr>
        <w:pStyle w:val="BodyText"/>
      </w:pPr>
      <w:r>
        <w:t xml:space="preserve">Durante a crise, cada área tentou provar que não era responsável pelo problema:</w:t>
      </w:r>
    </w:p>
    <w:p>
      <w:pPr>
        <w:pStyle w:val="Compact"/>
        <w:numPr>
          <w:ilvl w:val="0"/>
          <w:numId w:val="1001"/>
        </w:numPr>
      </w:pPr>
      <w:r>
        <w:t xml:space="preserve">A equipe de Desenvolvimento argumentou que o código havia passado em todos os testes;</w:t>
      </w:r>
    </w:p>
    <w:p>
      <w:pPr>
        <w:pStyle w:val="Compact"/>
        <w:numPr>
          <w:ilvl w:val="0"/>
          <w:numId w:val="1001"/>
        </w:numPr>
      </w:pPr>
      <w:r>
        <w:t xml:space="preserve">A equipe de Operações demonstrou que os servidores estavam funcionando normalmente.</w:t>
      </w:r>
    </w:p>
    <w:p>
      <w:pPr>
        <w:pStyle w:val="FirstParagraph"/>
      </w:pPr>
      <w:r>
        <w:t xml:space="preserve">Essa postura cria barreiras entre as equipes e retarda a resolução do incidente.</w:t>
      </w:r>
    </w:p>
    <w:p>
      <w:pPr>
        <w:pStyle w:val="BodyText"/>
      </w:pPr>
      <w:r>
        <w:t xml:space="preserve">A cultura DevOps promove responsabilidade compartilhada, colaboração contínua e foco na entrega de valor ao cliente. Em vez de procurar culpados, as equipes devem trabalhar juntas para identificar rapidamente a causa raiz do problema.</w:t>
      </w:r>
    </w:p>
    <w:p>
      <w:pPr>
        <w:pStyle w:val="BodyText"/>
      </w:pPr>
      <w:r>
        <w:t xml:space="preserve">A frase:</w:t>
      </w:r>
    </w:p>
    <w:p>
      <w:pPr>
        <w:pStyle w:val="BlockText"/>
      </w:pPr>
      <w:r>
        <w:t xml:space="preserve">“O software passou nos testes, mas falhou no negócio”</w:t>
      </w:r>
    </w:p>
    <w:p>
      <w:pPr>
        <w:pStyle w:val="FirstParagraph"/>
      </w:pPr>
      <w:r>
        <w:t xml:space="preserve">significa que todos os indicadores técnicos estavam aparentemente corretos, porém a aplicação deixou de cumprir seu objetivo principal: gerar vendas e atender os clientes.</w:t>
      </w:r>
    </w:p>
    <w:p>
      <w:pPr>
        <w:pStyle w:val="BodyText"/>
      </w:pPr>
      <w:r>
        <w:t xml:space="preserve">Em outras palavras, a qualidade técnica não foi suficiente para garantir o sucesso do negócio.</w:t>
      </w:r>
    </w:p>
    <w:p>
      <w:r>
        <w:pict>
          <v:rect style="width:0;height:1.5pt" o:hralign="center" o:hrstd="t" o:hr="t"/>
        </w:pict>
      </w:r>
    </w:p>
    <w:bookmarkEnd w:id="20"/>
    <w:bookmarkStart w:id="24" w:name="monitoramento-versus-observabilidade"/>
    <w:p>
      <w:pPr>
        <w:pStyle w:val="Heading3"/>
      </w:pPr>
      <w:r>
        <w:t xml:space="preserve">2. Monitoramento versus Observabilidade</w:t>
      </w:r>
    </w:p>
    <w:p>
      <w:pPr>
        <w:pStyle w:val="FirstParagraph"/>
      </w:pPr>
      <w:r>
        <w:t xml:space="preserve">O caso demonstra claramente a diferença entre monitoramento tradicional e observabilidade moderna.</w:t>
      </w:r>
    </w:p>
    <w:p>
      <w:pPr>
        <w:pStyle w:val="BodyText"/>
      </w:pPr>
      <w:r>
        <w:t xml:space="preserve">O monitoramento tradicional estava funcionando corretamente:</w:t>
      </w:r>
    </w:p>
    <w:p>
      <w:pPr>
        <w:pStyle w:val="Compact"/>
        <w:numPr>
          <w:ilvl w:val="0"/>
          <w:numId w:val="1002"/>
        </w:numPr>
      </w:pPr>
      <w:r>
        <w:t xml:space="preserve">CPU normal;</w:t>
      </w:r>
    </w:p>
    <w:p>
      <w:pPr>
        <w:pStyle w:val="Compact"/>
        <w:numPr>
          <w:ilvl w:val="0"/>
          <w:numId w:val="1002"/>
        </w:numPr>
      </w:pPr>
      <w:r>
        <w:t xml:space="preserve">Memória estável;</w:t>
      </w:r>
    </w:p>
    <w:p>
      <w:pPr>
        <w:pStyle w:val="Compact"/>
        <w:numPr>
          <w:ilvl w:val="0"/>
          <w:numId w:val="1002"/>
        </w:numPr>
      </w:pPr>
      <w:r>
        <w:t xml:space="preserve">Serviços ativos;</w:t>
      </w:r>
    </w:p>
    <w:p>
      <w:pPr>
        <w:pStyle w:val="Compact"/>
        <w:numPr>
          <w:ilvl w:val="0"/>
          <w:numId w:val="1002"/>
        </w:numPr>
      </w:pPr>
      <w:r>
        <w:t xml:space="preserve">Pipeline sem falhas.</w:t>
      </w:r>
    </w:p>
    <w:p>
      <w:pPr>
        <w:pStyle w:val="FirstParagraph"/>
      </w:pPr>
      <w:r>
        <w:t xml:space="preserve">Entretanto, nenhuma dessas métricas refletia a experiência real dos clientes.</w:t>
      </w:r>
    </w:p>
    <w:p>
      <w:pPr>
        <w:pStyle w:val="BodyText"/>
      </w:pPr>
      <w:r>
        <w:t xml:space="preserve">Uma estratégia de observabilidade deveria incluir:</w:t>
      </w:r>
    </w:p>
    <w:bookmarkStart w:id="21" w:name="métricas-técnicas"/>
    <w:p>
      <w:pPr>
        <w:pStyle w:val="Heading4"/>
      </w:pPr>
      <w:r>
        <w:t xml:space="preserve">Métricas Técnicas</w:t>
      </w:r>
    </w:p>
    <w:p>
      <w:pPr>
        <w:pStyle w:val="Compact"/>
        <w:numPr>
          <w:ilvl w:val="0"/>
          <w:numId w:val="1003"/>
        </w:numPr>
      </w:pPr>
      <w:r>
        <w:t xml:space="preserve">Latência das requisições;</w:t>
      </w:r>
    </w:p>
    <w:p>
      <w:pPr>
        <w:pStyle w:val="Compact"/>
        <w:numPr>
          <w:ilvl w:val="0"/>
          <w:numId w:val="1003"/>
        </w:numPr>
      </w:pPr>
      <w:r>
        <w:t xml:space="preserve">Tempo de resposta das APIs;</w:t>
      </w:r>
    </w:p>
    <w:p>
      <w:pPr>
        <w:pStyle w:val="Compact"/>
        <w:numPr>
          <w:ilvl w:val="0"/>
          <w:numId w:val="1003"/>
        </w:numPr>
      </w:pPr>
      <w:r>
        <w:t xml:space="preserve">Taxa de erros;</w:t>
      </w:r>
    </w:p>
    <w:p>
      <w:pPr>
        <w:pStyle w:val="Compact"/>
        <w:numPr>
          <w:ilvl w:val="0"/>
          <w:numId w:val="1003"/>
        </w:numPr>
      </w:pPr>
      <w:r>
        <w:t xml:space="preserve">Locks de banco de dados;</w:t>
      </w:r>
    </w:p>
    <w:p>
      <w:pPr>
        <w:pStyle w:val="Compact"/>
        <w:numPr>
          <w:ilvl w:val="0"/>
          <w:numId w:val="1003"/>
        </w:numPr>
      </w:pPr>
      <w:r>
        <w:t xml:space="preserve">Tempo de execução das consultas SQL.</w:t>
      </w:r>
    </w:p>
    <w:bookmarkEnd w:id="21"/>
    <w:bookmarkStart w:id="22" w:name="métricas-de-negócio"/>
    <w:p>
      <w:pPr>
        <w:pStyle w:val="Heading4"/>
      </w:pPr>
      <w:r>
        <w:t xml:space="preserve">Métricas de Negócio</w:t>
      </w:r>
    </w:p>
    <w:p>
      <w:pPr>
        <w:pStyle w:val="Compact"/>
        <w:numPr>
          <w:ilvl w:val="0"/>
          <w:numId w:val="1004"/>
        </w:numPr>
      </w:pPr>
      <w:r>
        <w:t xml:space="preserve">Taxa de conversão de vendas;</w:t>
      </w:r>
    </w:p>
    <w:p>
      <w:pPr>
        <w:pStyle w:val="Compact"/>
        <w:numPr>
          <w:ilvl w:val="0"/>
          <w:numId w:val="1004"/>
        </w:numPr>
      </w:pPr>
      <w:r>
        <w:t xml:space="preserve">Número de pedidos concluídos;</w:t>
      </w:r>
    </w:p>
    <w:p>
      <w:pPr>
        <w:pStyle w:val="Compact"/>
        <w:numPr>
          <w:ilvl w:val="0"/>
          <w:numId w:val="1004"/>
        </w:numPr>
      </w:pPr>
      <w:r>
        <w:t xml:space="preserve">Carrinhos abandonados;</w:t>
      </w:r>
    </w:p>
    <w:p>
      <w:pPr>
        <w:pStyle w:val="Compact"/>
        <w:numPr>
          <w:ilvl w:val="0"/>
          <w:numId w:val="1004"/>
        </w:numPr>
      </w:pPr>
      <w:r>
        <w:t xml:space="preserve">Faturamento por minuto;</w:t>
      </w:r>
    </w:p>
    <w:p>
      <w:pPr>
        <w:pStyle w:val="Compact"/>
        <w:numPr>
          <w:ilvl w:val="0"/>
          <w:numId w:val="1004"/>
        </w:numPr>
      </w:pPr>
      <w:r>
        <w:t xml:space="preserve">Taxa de aprovação de pagamentos.</w:t>
      </w:r>
    </w:p>
    <w:bookmarkEnd w:id="22"/>
    <w:bookmarkStart w:id="23" w:name="telemetria-avançada"/>
    <w:p>
      <w:pPr>
        <w:pStyle w:val="Heading4"/>
      </w:pPr>
      <w:r>
        <w:t xml:space="preserve">Telemetria Avançada</w:t>
      </w:r>
    </w:p>
    <w:p>
      <w:pPr>
        <w:pStyle w:val="Compact"/>
        <w:numPr>
          <w:ilvl w:val="0"/>
          <w:numId w:val="1005"/>
        </w:numPr>
      </w:pPr>
      <w:r>
        <w:t xml:space="preserve">Logs centralizados;</w:t>
      </w:r>
    </w:p>
    <w:p>
      <w:pPr>
        <w:pStyle w:val="Compact"/>
        <w:numPr>
          <w:ilvl w:val="0"/>
          <w:numId w:val="1005"/>
        </w:numPr>
      </w:pPr>
      <w:r>
        <w:t xml:space="preserve">Tracing distribuído;</w:t>
      </w:r>
    </w:p>
    <w:p>
      <w:pPr>
        <w:pStyle w:val="Compact"/>
        <w:numPr>
          <w:ilvl w:val="0"/>
          <w:numId w:val="1005"/>
        </w:numPr>
      </w:pPr>
      <w:r>
        <w:t xml:space="preserve">Métricas de dependências externas;</w:t>
      </w:r>
    </w:p>
    <w:p>
      <w:pPr>
        <w:pStyle w:val="Compact"/>
        <w:numPr>
          <w:ilvl w:val="0"/>
          <w:numId w:val="1005"/>
        </w:numPr>
      </w:pPr>
      <w:r>
        <w:t xml:space="preserve">Dashboards de experiência do usuário.</w:t>
      </w:r>
    </w:p>
    <w:p>
      <w:pPr>
        <w:pStyle w:val="FirstParagraph"/>
      </w:pPr>
      <w:r>
        <w:t xml:space="preserve">Com essas informações, a própria estratégia Canary poderia detectar a degradação do sistema e executar automaticamente um rollback antes que o problema impactasse um grande número de clientes.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o-post-mortem-blameless"/>
    <w:p>
      <w:pPr>
        <w:pStyle w:val="Heading3"/>
      </w:pPr>
      <w:r>
        <w:t xml:space="preserve">3. O Post-Mortem Blameless</w:t>
      </w:r>
    </w:p>
    <w:p>
      <w:pPr>
        <w:pStyle w:val="FirstParagraph"/>
      </w:pPr>
      <w:r>
        <w:t xml:space="preserve">Após a resolução do incidente, a equipe deve realizar uma reunião de Post-Mortem Blameless, cujo objetivo é promover aprendizado organizacional sem buscar culpados.</w:t>
      </w:r>
    </w:p>
    <w:p>
      <w:pPr>
        <w:pStyle w:val="BodyText"/>
      </w:pPr>
      <w:r>
        <w:t xml:space="preserve">A reunião deve seguir os seguintes princípios:</w:t>
      </w:r>
    </w:p>
    <w:bookmarkStart w:id="25" w:name="construção-da-linha-do-tempo"/>
    <w:p>
      <w:pPr>
        <w:pStyle w:val="Heading4"/>
      </w:pPr>
      <w:r>
        <w:t xml:space="preserve">Construção da Linha do Tempo</w:t>
      </w:r>
    </w:p>
    <w:p>
      <w:pPr>
        <w:pStyle w:val="FirstParagraph"/>
      </w:pPr>
      <w:r>
        <w:t xml:space="preserve">Registrar de forma objetiva:</w:t>
      </w:r>
    </w:p>
    <w:p>
      <w:pPr>
        <w:pStyle w:val="Compact"/>
        <w:numPr>
          <w:ilvl w:val="0"/>
          <w:numId w:val="1006"/>
        </w:numPr>
      </w:pPr>
      <w:r>
        <w:t xml:space="preserve">Momento do deploy;</w:t>
      </w:r>
    </w:p>
    <w:p>
      <w:pPr>
        <w:pStyle w:val="Compact"/>
        <w:numPr>
          <w:ilvl w:val="0"/>
          <w:numId w:val="1006"/>
        </w:numPr>
      </w:pPr>
      <w:r>
        <w:t xml:space="preserve">Início dos sintomas;</w:t>
      </w:r>
    </w:p>
    <w:p>
      <w:pPr>
        <w:pStyle w:val="Compact"/>
        <w:numPr>
          <w:ilvl w:val="0"/>
          <w:numId w:val="1006"/>
        </w:numPr>
      </w:pPr>
      <w:r>
        <w:t xml:space="preserve">Detecção do problema;</w:t>
      </w:r>
    </w:p>
    <w:p>
      <w:pPr>
        <w:pStyle w:val="Compact"/>
        <w:numPr>
          <w:ilvl w:val="0"/>
          <w:numId w:val="1006"/>
        </w:numPr>
      </w:pPr>
      <w:r>
        <w:t xml:space="preserve">Identificação da causa raiz;</w:t>
      </w:r>
    </w:p>
    <w:p>
      <w:pPr>
        <w:pStyle w:val="Compact"/>
        <w:numPr>
          <w:ilvl w:val="0"/>
          <w:numId w:val="1006"/>
        </w:numPr>
      </w:pPr>
      <w:r>
        <w:t xml:space="preserve">Solução aplicada.</w:t>
      </w:r>
    </w:p>
    <w:bookmarkEnd w:id="25"/>
    <w:bookmarkStart w:id="26" w:name="identificação-das-causas-sistêmicas"/>
    <w:p>
      <w:pPr>
        <w:pStyle w:val="Heading4"/>
      </w:pPr>
      <w:r>
        <w:t xml:space="preserve">Identificação das Causas Sistêmicas</w:t>
      </w:r>
    </w:p>
    <w:p>
      <w:pPr>
        <w:pStyle w:val="FirstParagraph"/>
      </w:pPr>
      <w:r>
        <w:t xml:space="preserve">A análise deve focar em:</w:t>
      </w:r>
    </w:p>
    <w:p>
      <w:pPr>
        <w:pStyle w:val="Compact"/>
        <w:numPr>
          <w:ilvl w:val="0"/>
          <w:numId w:val="1007"/>
        </w:numPr>
      </w:pPr>
      <w:r>
        <w:t xml:space="preserve">Falhas de observabilidade;</w:t>
      </w:r>
    </w:p>
    <w:p>
      <w:pPr>
        <w:pStyle w:val="Compact"/>
        <w:numPr>
          <w:ilvl w:val="0"/>
          <w:numId w:val="1007"/>
        </w:numPr>
      </w:pPr>
      <w:r>
        <w:t xml:space="preserve">Limitações dos testes;</w:t>
      </w:r>
    </w:p>
    <w:p>
      <w:pPr>
        <w:pStyle w:val="Compact"/>
        <w:numPr>
          <w:ilvl w:val="0"/>
          <w:numId w:val="1007"/>
        </w:numPr>
      </w:pPr>
      <w:r>
        <w:t xml:space="preserve">Problemas arquiteturais;</w:t>
      </w:r>
    </w:p>
    <w:p>
      <w:pPr>
        <w:pStyle w:val="Compact"/>
        <w:numPr>
          <w:ilvl w:val="0"/>
          <w:numId w:val="1007"/>
        </w:numPr>
      </w:pPr>
      <w:r>
        <w:t xml:space="preserve">Lacunas nos processos operacionais.</w:t>
      </w:r>
    </w:p>
    <w:bookmarkEnd w:id="26"/>
    <w:bookmarkStart w:id="27" w:name="definição-de-melhorias"/>
    <w:p>
      <w:pPr>
        <w:pStyle w:val="Heading4"/>
      </w:pPr>
      <w:r>
        <w:t xml:space="preserve">Definição de Melhorias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Monitoramento de locks em banco de dados;</w:t>
      </w:r>
    </w:p>
    <w:p>
      <w:pPr>
        <w:pStyle w:val="Compact"/>
        <w:numPr>
          <w:ilvl w:val="0"/>
          <w:numId w:val="1008"/>
        </w:numPr>
      </w:pPr>
      <w:r>
        <w:t xml:space="preserve">Testes mais próximos do ambiente produtivo;</w:t>
      </w:r>
    </w:p>
    <w:p>
      <w:pPr>
        <w:pStyle w:val="Compact"/>
        <w:numPr>
          <w:ilvl w:val="0"/>
          <w:numId w:val="1008"/>
        </w:numPr>
      </w:pPr>
      <w:r>
        <w:t xml:space="preserve">Métricas de negócio em tempo real;</w:t>
      </w:r>
    </w:p>
    <w:p>
      <w:pPr>
        <w:pStyle w:val="Compact"/>
        <w:numPr>
          <w:ilvl w:val="0"/>
          <w:numId w:val="1008"/>
        </w:numPr>
      </w:pPr>
      <w:r>
        <w:t xml:space="preserve">Automação de rollback baseada em indicadores de negócio.</w:t>
      </w:r>
    </w:p>
    <w:bookmarkEnd w:id="27"/>
    <w:bookmarkStart w:id="28" w:name="cultura-de-aprendizado"/>
    <w:p>
      <w:pPr>
        <w:pStyle w:val="Heading4"/>
      </w:pPr>
      <w:r>
        <w:t xml:space="preserve">Cultura de Aprendizado</w:t>
      </w:r>
    </w:p>
    <w:p>
      <w:pPr>
        <w:pStyle w:val="FirstParagraph"/>
      </w:pPr>
      <w:r>
        <w:t xml:space="preserve">A pergunta central não deve ser:</w:t>
      </w:r>
    </w:p>
    <w:p>
      <w:pPr>
        <w:pStyle w:val="BlockText"/>
      </w:pPr>
      <w:r>
        <w:t xml:space="preserve">“Quem causou o problema?”</w:t>
      </w:r>
    </w:p>
    <w:p>
      <w:pPr>
        <w:pStyle w:val="FirstParagraph"/>
      </w:pPr>
      <w:r>
        <w:t xml:space="preserve">Mas sim:</w:t>
      </w:r>
    </w:p>
    <w:p>
      <w:pPr>
        <w:pStyle w:val="BlockText"/>
      </w:pPr>
      <w:r>
        <w:t xml:space="preserve">“O que permitiu que o problema acontecesse?”</w:t>
      </w:r>
    </w:p>
    <w:p>
      <w:pPr>
        <w:pStyle w:val="FirstParagraph"/>
      </w:pPr>
      <w:r>
        <w:t xml:space="preserve">Essa abordagem fortalece a cultura de melhoria contínua e aumenta a confiabilidade do sistema ao longo do tempo.</w:t>
      </w:r>
    </w:p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2026-06-18T00:32:41Z</dcterms:created>
  <dcterms:modified xsi:type="dcterms:W3CDTF">2026-06-18T00:32:41Z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