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06035c72600b3e2793074bc4745c268c7a8cf9"/>
    <w:p>
      <w:pPr>
        <w:pStyle w:val="Heading1"/>
      </w:pPr>
      <w:r>
        <w:t xml:space="preserve">Exercício 30 – O Patch de Sexta-Feira e o Fantasma do Drift</w:t>
      </w:r>
    </w:p>
    <w:bookmarkStart w:id="29" w:name="X7a00d5facfa1eeb1b8b0eaa836e3b31e7b9d12f"/>
    <w:p>
      <w:pPr>
        <w:pStyle w:val="Heading2"/>
      </w:pPr>
      <w:r>
        <w:t xml:space="preserve">Estudo de Caso: Configuration Drift em Ambientes DevSecOps</w:t>
      </w:r>
    </w:p>
    <w:bookmarkStart w:id="20" w:name="X740dcd252d105af43684c44b527f6283198466e"/>
    <w:p>
      <w:pPr>
        <w:pStyle w:val="Heading3"/>
      </w:pPr>
      <w:r>
        <w:t xml:space="preserve">1. A Armadilha da Boa Intenção (Configuration Drift)</w:t>
      </w:r>
    </w:p>
    <w:p>
      <w:pPr>
        <w:pStyle w:val="FirstParagraph"/>
      </w:pPr>
      <w:r>
        <w:t xml:space="preserve">O incidente ocorreu devido à criação de uma divergência entre a infraestrutura real e a infraestrutura declarada no código.</w:t>
      </w:r>
    </w:p>
    <w:p>
      <w:pPr>
        <w:pStyle w:val="BodyText"/>
      </w:pPr>
      <w:r>
        <w:t xml:space="preserve">Na sexta-feira, o Líder de Segurança realizou alterações diretamente no ambiente de produção utilizando uma credencial de emergência. Embora a intenção fosse proteger a empresa contra uma vulnerabilidade crítica, as mudanças não foram registradas no repositório Git nem nos arquivos Terraform.</w:t>
      </w:r>
    </w:p>
    <w:p>
      <w:pPr>
        <w:pStyle w:val="BodyText"/>
      </w:pPr>
      <w:r>
        <w:t xml:space="preserve">Essa situação é conhecida como</w:t>
      </w:r>
      <w:r>
        <w:t xml:space="preserve"> </w:t>
      </w:r>
      <w:r>
        <w:rPr>
          <w:b/>
          <w:bCs/>
        </w:rPr>
        <w:t xml:space="preserve">Configuration Drift</w:t>
      </w:r>
      <w:r>
        <w:t xml:space="preserve">, que ocorre quando o estado real da infraestrutura deixa de corresponder ao estado descrito pela Infraestrutura como Código (Infrastructure as Code – IaC).</w:t>
      </w:r>
    </w:p>
    <w:p>
      <w:pPr>
        <w:pStyle w:val="BodyText"/>
      </w:pPr>
      <w:r>
        <w:t xml:space="preserve">Quando Mariana aprovou uma simples alteração visual na segunda-feira, a pipeline executou normalmente o processo de provisionamento utilizando Terraform.</w:t>
      </w:r>
    </w:p>
    <w:p>
      <w:pPr>
        <w:pStyle w:val="BodyText"/>
      </w:pPr>
      <w:r>
        <w:t xml:space="preserve">O Terraform identificou que a infraestrutura em execução estava diferente da configuração definida no código e realizou a sincronização automática para restaurar o estado declarado.</w:t>
      </w:r>
    </w:p>
    <w:p>
      <w:pPr>
        <w:pStyle w:val="BodyText"/>
      </w:pPr>
      <w:r>
        <w:t xml:space="preserve">Como consequência:</w:t>
      </w:r>
    </w:p>
    <w:p>
      <w:pPr>
        <w:pStyle w:val="Compact"/>
        <w:numPr>
          <w:ilvl w:val="0"/>
          <w:numId w:val="1001"/>
        </w:numPr>
      </w:pPr>
      <w:r>
        <w:t xml:space="preserve">Regras de firewall foram revertidas;</w:t>
      </w:r>
    </w:p>
    <w:p>
      <w:pPr>
        <w:pStyle w:val="Compact"/>
        <w:numPr>
          <w:ilvl w:val="0"/>
          <w:numId w:val="1001"/>
        </w:numPr>
      </w:pPr>
      <w:r>
        <w:t xml:space="preserve">Configurações críticas foram sobrescritas;</w:t>
      </w:r>
    </w:p>
    <w:p>
      <w:pPr>
        <w:pStyle w:val="Compact"/>
        <w:numPr>
          <w:ilvl w:val="0"/>
          <w:numId w:val="1001"/>
        </w:numPr>
      </w:pPr>
      <w:r>
        <w:t xml:space="preserve">A comunicação entre serviços foi interrompida;</w:t>
      </w:r>
    </w:p>
    <w:p>
      <w:pPr>
        <w:pStyle w:val="Compact"/>
        <w:numPr>
          <w:ilvl w:val="0"/>
          <w:numId w:val="1001"/>
        </w:numPr>
      </w:pPr>
      <w:r>
        <w:t xml:space="preserve">O sistema ficou indisponível.</w:t>
      </w:r>
    </w:p>
    <w:p>
      <w:pPr>
        <w:pStyle w:val="FirstParagraph"/>
      </w:pPr>
      <w:r>
        <w:t xml:space="preserve">Portanto, a falha não foi causada pela alteração do front-end, mas pela existência de uma divergência entre o ambiente real e o código-fonte da infraestrutura.</w:t>
      </w:r>
    </w:p>
    <w:p>
      <w:r>
        <w:pict>
          <v:rect style="width:0;height:1.5pt" o:hralign="center" o:hrstd="t" o:hr="t"/>
        </w:pict>
      </w:r>
    </w:p>
    <w:bookmarkEnd w:id="20"/>
    <w:bookmarkStart w:id="21" w:name="a-falsa-sensação-de-devsecops"/>
    <w:p>
      <w:pPr>
        <w:pStyle w:val="Heading3"/>
      </w:pPr>
      <w:r>
        <w:t xml:space="preserve">2. A Falsa Sensação de DevSecOps</w:t>
      </w:r>
    </w:p>
    <w:p>
      <w:pPr>
        <w:pStyle w:val="FirstParagraph"/>
      </w:pPr>
      <w:r>
        <w:t xml:space="preserve">A ação da equipe de Segurança resolveu temporariamente o problema, porém violou princípios fundamentais de DevOps e DevSecOps.</w:t>
      </w:r>
    </w:p>
    <w:p>
      <w:pPr>
        <w:pStyle w:val="BodyText"/>
      </w:pPr>
      <w:r>
        <w:t xml:space="preserve">Em um ambiente DevSecOps maduro, qualquer alteração de infraestrutura ou segurança deve ser realizada através do mesmo fluxo utilizado para mudanças de software.</w:t>
      </w:r>
    </w:p>
    <w:p>
      <w:pPr>
        <w:pStyle w:val="BodyText"/>
      </w:pPr>
      <w:r>
        <w:t xml:space="preserve">O procedimento correto seria:</w:t>
      </w:r>
    </w:p>
    <w:p>
      <w:pPr>
        <w:pStyle w:val="Compact"/>
        <w:numPr>
          <w:ilvl w:val="0"/>
          <w:numId w:val="1002"/>
        </w:numPr>
      </w:pPr>
      <w:r>
        <w:t xml:space="preserve">Criar uma branch de emergência;</w:t>
      </w:r>
    </w:p>
    <w:p>
      <w:pPr>
        <w:pStyle w:val="Compact"/>
        <w:numPr>
          <w:ilvl w:val="0"/>
          <w:numId w:val="1002"/>
        </w:numPr>
      </w:pPr>
      <w:r>
        <w:t xml:space="preserve">Atualizar os arquivos Terraform;</w:t>
      </w:r>
    </w:p>
    <w:p>
      <w:pPr>
        <w:pStyle w:val="Compact"/>
        <w:numPr>
          <w:ilvl w:val="0"/>
          <w:numId w:val="1002"/>
        </w:numPr>
      </w:pPr>
      <w:r>
        <w:t xml:space="preserve">Ajustar as regras de segurança no código;</w:t>
      </w:r>
    </w:p>
    <w:p>
      <w:pPr>
        <w:pStyle w:val="Compact"/>
        <w:numPr>
          <w:ilvl w:val="0"/>
          <w:numId w:val="1002"/>
        </w:numPr>
      </w:pPr>
      <w:r>
        <w:t xml:space="preserve">Submeter as alterações para revisão;</w:t>
      </w:r>
    </w:p>
    <w:p>
      <w:pPr>
        <w:pStyle w:val="Compact"/>
        <w:numPr>
          <w:ilvl w:val="0"/>
          <w:numId w:val="1002"/>
        </w:numPr>
      </w:pPr>
      <w:r>
        <w:t xml:space="preserve">Executar a pipeline automatizada;</w:t>
      </w:r>
    </w:p>
    <w:p>
      <w:pPr>
        <w:pStyle w:val="Compact"/>
        <w:numPr>
          <w:ilvl w:val="0"/>
          <w:numId w:val="1002"/>
        </w:numPr>
      </w:pPr>
      <w:r>
        <w:t xml:space="preserve">Aplicar as mudanças por meio da Infraestrutura como Código.</w:t>
      </w:r>
    </w:p>
    <w:p>
      <w:pPr>
        <w:pStyle w:val="FirstParagraph"/>
      </w:pPr>
      <w:r>
        <w:t xml:space="preserve">Esse processo garantiria:</w:t>
      </w:r>
    </w:p>
    <w:p>
      <w:pPr>
        <w:pStyle w:val="Compact"/>
        <w:numPr>
          <w:ilvl w:val="0"/>
          <w:numId w:val="1003"/>
        </w:numPr>
      </w:pPr>
      <w:r>
        <w:t xml:space="preserve">Versionamento;</w:t>
      </w:r>
    </w:p>
    <w:p>
      <w:pPr>
        <w:pStyle w:val="Compact"/>
        <w:numPr>
          <w:ilvl w:val="0"/>
          <w:numId w:val="1003"/>
        </w:numPr>
      </w:pPr>
      <w:r>
        <w:t xml:space="preserve">Auditoria;</w:t>
      </w:r>
    </w:p>
    <w:p>
      <w:pPr>
        <w:pStyle w:val="Compact"/>
        <w:numPr>
          <w:ilvl w:val="0"/>
          <w:numId w:val="1003"/>
        </w:numPr>
      </w:pPr>
      <w:r>
        <w:t xml:space="preserve">Rastreabilidade;</w:t>
      </w:r>
    </w:p>
    <w:p>
      <w:pPr>
        <w:pStyle w:val="Compact"/>
        <w:numPr>
          <w:ilvl w:val="0"/>
          <w:numId w:val="1003"/>
        </w:numPr>
      </w:pPr>
      <w:r>
        <w:t xml:space="preserve">Reprodutibilidade;</w:t>
      </w:r>
    </w:p>
    <w:p>
      <w:pPr>
        <w:pStyle w:val="Compact"/>
        <w:numPr>
          <w:ilvl w:val="0"/>
          <w:numId w:val="1003"/>
        </w:numPr>
      </w:pPr>
      <w:r>
        <w:t xml:space="preserve">Consistência entre ambientes.</w:t>
      </w:r>
    </w:p>
    <w:p>
      <w:pPr>
        <w:pStyle w:val="FirstParagraph"/>
      </w:pPr>
      <w:r>
        <w:t xml:space="preserve">A segurança deve estar integrada ao pipeline e não ser aplicada por meio de intervenções manuais em produção.</w:t>
      </w:r>
    </w:p>
    <w:p>
      <w:r>
        <w:pict>
          <v:rect style="width:0;height:1.5pt" o:hralign="center" o:hrstd="t" o:hr="t"/>
        </w:pict>
      </w:r>
    </w:p>
    <w:bookmarkEnd w:id="21"/>
    <w:bookmarkStart w:id="28" w:name="resiliência-e-imutabilidade"/>
    <w:p>
      <w:pPr>
        <w:pStyle w:val="Heading3"/>
      </w:pPr>
      <w:r>
        <w:t xml:space="preserve">3. Resiliência e Imutabilidade</w:t>
      </w:r>
    </w:p>
    <w:p>
      <w:pPr>
        <w:pStyle w:val="FirstParagraph"/>
      </w:pPr>
      <w:r>
        <w:t xml:space="preserve">Para evitar ocorrências semelhantes no futuro, a Fintech deve fortalecer seus mecanismos de governança, automação e controle.</w:t>
      </w:r>
    </w:p>
    <w:bookmarkStart w:id="22" w:name="infraestrutura-imutável"/>
    <w:p>
      <w:pPr>
        <w:pStyle w:val="Heading4"/>
      </w:pPr>
      <w:r>
        <w:t xml:space="preserve">Infraestrutura Imutável</w:t>
      </w:r>
    </w:p>
    <w:p>
      <w:pPr>
        <w:pStyle w:val="FirstParagraph"/>
      </w:pPr>
      <w:r>
        <w:t xml:space="preserve">Os recursos devem ser recriados a partir do código sempre que necessário, evitando modificações manuais diretas.</w:t>
      </w:r>
    </w:p>
    <w:bookmarkEnd w:id="22"/>
    <w:bookmarkStart w:id="23" w:name="gitops"/>
    <w:p>
      <w:pPr>
        <w:pStyle w:val="Heading4"/>
      </w:pPr>
      <w:r>
        <w:t xml:space="preserve">GitOps</w:t>
      </w:r>
    </w:p>
    <w:p>
      <w:pPr>
        <w:pStyle w:val="FirstParagraph"/>
      </w:pPr>
      <w:r>
        <w:t xml:space="preserve">O repositório Git deve ser considerado a única fonte oficial da verdade para toda a infraestrutura.</w:t>
      </w:r>
    </w:p>
    <w:bookmarkEnd w:id="23"/>
    <w:bookmarkStart w:id="24" w:name="detecção-automática-de-drift"/>
    <w:p>
      <w:pPr>
        <w:pStyle w:val="Heading4"/>
      </w:pPr>
      <w:r>
        <w:t xml:space="preserve">Detecção Automática de Drift</w:t>
      </w:r>
    </w:p>
    <w:p>
      <w:pPr>
        <w:pStyle w:val="FirstParagraph"/>
      </w:pPr>
      <w:r>
        <w:t xml:space="preserve">Ferramentas de verificação contínua devem identificar divergências entre o ambiente real e o código definido no repositório.</w:t>
      </w:r>
    </w:p>
    <w:bookmarkEnd w:id="24"/>
    <w:bookmarkStart w:id="25" w:name="controle-de-acesso"/>
    <w:p>
      <w:pPr>
        <w:pStyle w:val="Heading4"/>
      </w:pPr>
      <w:r>
        <w:t xml:space="preserve">Controle de Acesso</w:t>
      </w:r>
    </w:p>
    <w:p>
      <w:pPr>
        <w:pStyle w:val="FirstParagraph"/>
      </w:pPr>
      <w:r>
        <w:t xml:space="preserve">O acesso direto à produção deve ser restrito e monitorado, permitindo alterações apenas por meio da pipeline oficial.</w:t>
      </w:r>
    </w:p>
    <w:bookmarkEnd w:id="25"/>
    <w:bookmarkStart w:id="26" w:name="auditoria-e-compliance"/>
    <w:p>
      <w:pPr>
        <w:pStyle w:val="Heading4"/>
      </w:pPr>
      <w:r>
        <w:t xml:space="preserve">Auditoria e Compliance</w:t>
      </w:r>
    </w:p>
    <w:p>
      <w:pPr>
        <w:pStyle w:val="FirstParagraph"/>
      </w:pPr>
      <w:r>
        <w:t xml:space="preserve">Toda alteração deve gerar registros auditáveis, possibilitando rastreamento completo das ações realizadas.</w:t>
      </w:r>
    </w:p>
    <w:bookmarkEnd w:id="26"/>
    <w:bookmarkStart w:id="27" w:name="procedimentos-de-emergência"/>
    <w:p>
      <w:pPr>
        <w:pStyle w:val="Heading4"/>
      </w:pPr>
      <w:r>
        <w:t xml:space="preserve">Procedimentos de Emergência</w:t>
      </w:r>
    </w:p>
    <w:p>
      <w:pPr>
        <w:pStyle w:val="FirstParagraph"/>
      </w:pPr>
      <w:r>
        <w:t xml:space="preserve">Mesmo em situações críticas, deve existir um fluxo de mudança emergencial baseado em automação, garantindo rapidez sem comprometer a consistência do ambiente.</w:t>
      </w:r>
    </w:p>
    <w:p>
      <w:pPr>
        <w:pStyle w:val="BodyText"/>
      </w:pPr>
      <w:r>
        <w:t xml:space="preserve">Dessa forma, a organização reduz riscos operacionais, aumenta a confiabilidade dos sistemas e fortalece os princípios de automação, segurança e resiliência que sustentam uma cultura DevOps moderna.</w:t>
      </w:r>
    </w:p>
    <w:bookmarkEnd w:id="27"/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2026-06-18T00:32:51Z</dcterms:created>
  <dcterms:modified xsi:type="dcterms:W3CDTF">2026-06-18T00:32:51Z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