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Respostas comentadas - Exercício 7 (Moeda e Inflação + Setor Externo) - Economia Geral 2017.2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Prof. Wagner Molina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1- Assinale qual das transações abaixo corresponde a uma destruição de moeda (meios de pagamento = M1) no sistema econômico: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Uma empresa paga em moeda os salários de seus funcionários;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Uma empresa resgata uma promissória junto a um banco comercial;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Uma empresa paga uma duplicata a outra empresa;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Um banco comercial desconta um título junto ao Banco Central;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Um indivíduo paga uma dívida pessoal a outro indivíduo.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Resposta: “b”.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Os meios de pagamento (M1) são formados pela moeda em poder do público mais os depósitos à vista (contas correntes) nos bancos comerciais. Em outras palavras, podemos afirmar que M1 representa o dinheiro disponível imediatamente para o “público” (empresas e indivíduos). Note que os bancos e o Banco Central não são considerados como parte deste “público”. Assim, toda transação envolvendo os bancos e o Bacen não afeta diretamente M1. Transações que representem transferências de M1 entre empresas e empresas, indivíduos e indivíduos, bem como empresas e indivíduos, não criam nem destroem moeda no geral, apenas alteram sua distribuição. Desta forma, há destruição, de moeda (M1) quando uma empresa ou indivíduo transforma dinheiro (liquidez imediata = disponível imediatamente) em aplicações a prazo (poupança, aplicações em renda fixa, etc..) junto a algum banco; ou quando uma dívida assumida junto ao banco é amortizada ou quitada.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No caso das alternativas disponíveis, isto ocorre na alternativa b, pois ao resgatar uma promissória junto ao banco, a empresa está, na verdade, devolvendo o dinheiro que foi anteriormente emprestado belo banco através de um “desconto de duplicatas” (adiantamento de receitas mediante a apresentação, pela empresa, de uma cópia de promissória de venda a prazo como garantia)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2- A política monetária executada pelo banco central caracteriza-se como restritiva quando visa diminuir a liquidez da economia. Isto pode ser feito através de medidas como: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diminuição dos recolhimentos compulsórios, elevação da taxa de juros referencial praticada no open market e aumento das taxas de redesconto bancário;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diminuição da taxa de juros referencial praticada no open market, diminuição dos recolhimentos compulsórios e aumento das taxas de redesconto bancário;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Aumento das taxas de redesconto bancário, aumento dos recolhimentos compulsórios e diminuição da taxa de juros referencial praticada no open market;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Aumento dos recolhimentos compulsórios, elevação da taxa de juros referencial praticada no open market e aumento nas taxas de redesconto bancário;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Nenhuma das anteriores.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Resposta: “d”.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Sabemos que o termo liquidez associado à economia significa algo como “disponibilidade de moeda”. Sempre que o governo quer alterar esta “disponibilidade”, ele faz uso (através do Bacen) da chamada “política monetária”, que pode ser de dois tipos: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Política monetária expansiva,que visa uma maior quantidade de dinheiro à disposição do público. Esta política costuma ser adotada quando se deseja estimular a atividade econômica. (com mais moeda disponível, o custo do crédito nas lojas e nos bancos cai, e as pessoas tendem a se utilizar mais deste crédito, o que acaba estimulando gastos, que levam a aumento da produção, o que por sua vez estimula contratações, etc..). A política monetária expansiva é feita a partir de medidas como a queda na taxa Selic (referência para a formação dos juros do mercado financeiro), a queda nas taxas de redesconto (que estimulam os bancos a concederem crédito de forma mais ousada...) e a diminuição da porcentagem exigida de depósitos compulsórios dos bancos comerciais no Bacen (o que faz sobrar mais moeda para que estes bancos emprestem aos seus clientes).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Política Monetária restritiva, que visa o oposto da política expansiva, e utiliza os mesmos instrumentos, mas de forma inversa. Assim, quando o governo quer desestimular a atividade econômica (geralmente devido ao risco de volta da inflação), são adotadas (pelo Bacen) medidas como a elevação da taxa Selic, a elevação das taxas de redesconto e o aumento da porcentagem exigida de depósitos compulsórios.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No caso deste exercício, a alternativa correta era a d.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3- Suponha que o balancete consolidado dos bancos comerciais numa determinada data seja o seguinte*: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Caixa……………………………...250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Depósitos……………………….1000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Empréstimos…………………….750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Total……………………………..1000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Total…………………………….1000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Admitindo-se, para simplificar, que o público não mantém moeda em seu poder (depositndo tudo em suas contas correntes...)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left w:space="0" w:sz="0" w:val="nil"/>
          <w:right w:space="0" w:sz="0" w:val="nil"/>
        </w:pBdr>
        <w:ind w:left="-114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 ocorrer um aumento da base monetária de $100 (dinheiro novo circulando na economia, que acaba sendo depositado nos bancos...) – e sabendo-se que o valor mantido em caixa pelos bancos comerciais costuma ser de25% dos depósitos – o aumento correspondente nos meios de pagamento, em função da criação de moeda escritural, por parte dos bancos, será 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pBdr>
          <w:left w:space="0" w:sz="0" w:val="nil"/>
          <w:right w:space="0" w:sz="0" w:val="nil"/>
        </w:pBdr>
        <w:ind w:left="-114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100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250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 c)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1400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400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1100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Resposta: “d”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Neste exercício, temos a seguintes informações fundamentais: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I- quantidade de moeda realmente existente no caixa dos bancos: 250;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II- porcentagem mínima de moeda mantida pelos bancos como garantia dos depósitos à vista de seus clientes: 25%;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Não é por acaso que o total dos depósitos seja de 1000, pois o banco só possui caixa suficiente para garantir no máximo esta quantia. (25% de 1000 = 250). Mas se 100 novos reais passassem a circular, os bancos acabariam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tendo em seus caixas um total de 350 reais (250 + os 100 novos reais). Estes 350 seriam capazes de garantir mais depósitos à vista. Mas quanto a mais? Bem, se sabemos que os 350 devem representar, no máximo, 25% dos depósitos à vista, podemos descobrir o valor  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 destes depósitos com uma regra de três simples!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350 ------------ 25%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x -------------100%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350 . 100 = 25 .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x = 35000/25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x = 1400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Assim, os depósitos vão de 1000 (antes dos 100 novos reais) para 1400 (após). Isso corresponde a um aumento de 400 reais nos meios de pagamento, em função de 100 novos reais que começaram a circular...Pois a partir deste 100 reais a mais, os bancos ainda criaram mais 300 reais escriturais! E a alternativa correta é, portanto, a d.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4- Analise as afirmativas abaixo e assinale a alternativa correta: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– Se os preços dos bens e serviços se elevam apenas durante certo período de tempo, estabilizando-se em seguida, caracteriza-se um processo inflacionário crônico.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 – Após uma quebra na safra de soja, os preços dos produtos derivados da mesma (óleo de soja, leite de soja, etc..) se elevaram bastante; tal situação, tomada isoladamente, é suficiente para caracterizar um processo inflacionário.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III – A inflação interna registrada no país não tem nenhuma influência sobre nossas exportações, já que os produtos destinados ao exterior são pagos em moeda estrangeira.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a) I e III corretas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b) I, II e III corretas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c) somente a I errada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d) I, II e III erradas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e) somente a III 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Resposta: “d”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Nesta questão, as três afirmações estão equivocadas.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primeira não procede, pois um processo inflacionário é necessariamente persistente ao longo do tempo (e um processo inflacionário crônico seria ainda mais, durando muitos anos, ou até décadas). Se a alta dos preços não for persistente, não se trata de um processo inflacionário, mas sim de um reescalonamento de preços.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segunda frase erra ao ignorar que a inflação consiste numa alta GENERALIZADA dos preços na economia. Se o que se registra é um fenômeno restrito à cadeia da soja, simplesmente teremos uma mudança nos preços relativos daqueles produtos (derivados de soja) em relação ao restante da economia. Isso sozinho não é inflação.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terceira frase ignora as nossas aulas de câmbio, nas quais ficou caracterizado que a inflação faz com que os nossos produtos percam, sim, competitividade em relação aos concorrentes estrangeiros. A não ser que a alta de preços interna seja compensada por uma desvalorização de nossa moeda...</w:t>
      </w:r>
    </w:p>
    <w:p w:rsidR="00000000" w:rsidDel="00000000" w:rsidP="00000000" w:rsidRDefault="00000000" w:rsidRPr="0000000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Alternativa correta: d.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5- indique se as afirmações abaixo são verdadeiras (V) ou falsas (F) assinale a alternativa que corresponde à sequência: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) a inflação inercial é caracterizada pela tendência de que uma elevação de preços inicial (choque) se perpetue ao longo do tempo, em função da indexação;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Correto. A indexação (de contratos como aluguéis, salários, financiamentos, etc.) faz com que a inflação registrada em um mês seja repassada para todos estes contratos, o que “fabrica” uma nova inflação para o mês posterior, pois eles são elementos de custos, e serão repassados para os preços...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uma elevação da taxa de juros é um elemento causador da chamada inflação de demanda, e deve ser combatida por políticas de austeridade fiscal;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Falso. A taxa de juros não causa inflação de demanda – muito pelo contrário: ela costuma ser receitada como um “remédio” contra este tipo de inflação...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) em períodos de elevada inflação, a demanda por moeda tende a ser ampliada;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Falso: em períodos de elevada inflação, o que as pessoas menos querem é conservar dinheiro em mãos, pois ele perde poder de compra em função da alta do custo de vida. A tendência é o oposto: com a inflação, buscamos transformar rapidamente o “dinheiro na mão” (contas correntes, $$ em nosso bolso, etc..) em aplicações ou outras formas de patrimônio que nos protegem da inflação...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Podemos identificar três motivos básicos para a demanda por moeda: para fins de transação, para fins de precaução e para fins de especulação;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Correto. Ver capítulo sobre política monetária, no livro “Economia Brasileira Contemporânea (Gremaud, Vasconcellos e Toneto Jr.)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Quanto maior a proporção de depósitos compulsórios exigida pelo BACEN, menor será a capacidade de criação de moeda escritural, por parte dos bancos comerciais.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Correto: quando o BACEN aumenta a exigência do compulsório, é reduzido o montante de base monetária à disposição dos bancos comerciais (para atendimento à demanda dos correntistas). Com menos reservas próprias, os bancos ficam com uma margem menor para fazer a “alavancagem” – emprestando parte dos recursos em seu poder (veja exercício 3 desta lista).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a) V, F, V, F,       b) V, V, V, F, F     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V, F, F, V, 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   d) F, V, V, F, F      e) F, F, V, V,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Resposta: “c”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dentifique qual alternativa é registrada como movimento de capitais autônomos, na estrutura da balança de pagamentos: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remessa de lucros para o exterior;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remessa de royalties para o exterior;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pagamento de seguros sobre importações;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amortização de empréstimos externos;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pagamento de juros de empréstimos externos;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. São registradas como movimento de capitais autônomos as transações relativas à movimentação de capitais entre o país e o exterior. Neste caso, a única alternativa que se encaixa nestas condições é a amortização de empréstimos externos.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7-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Não se classifica em "transações correntes":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exportações;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importações;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doações do governo brasileiro para o Sudão;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doações recebidas do Japão;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fluxo de entrada de capital.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. Na conta corrente do balanço de pagamentos são registradas as transações relativas à compra e venda de bens e serviços. Inclui-se também nessa rubrica o movimento de doações entre o país e o exterior. Na conta capital, são classificadas as transações de capital entre o país e o exterior.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8-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Um país qualquer apresentou um elevado déficit em seu Balanço de Pagamentos. Entre as medidas que podem ser adotadas para tentar reverter esta situação, não podemos incluir: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Contenção da demanda interna e elevação das tarifas aduaneiras para produtos importados.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Aumento da taxa interna de juros e política cambial visando uma desvalorização da moeda local;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Concessão de incentivos fiscais às exportações e criação de barreiras não tarifárias a produtos importados;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Incentivo à demanda interna e implementação de política cambial visando uma valorização da moeda local;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Contenção da demanda interna, elevação de barreiras (tarifárias ou não) a produtos importados e concessão de subsídios à exportação.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. As medidas corretivas para um déficit no balanço de pagamentos podem ser de três tipos: as que envolvem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“política cambial”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, as de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contenção de demanda interna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e as de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restrição legal às importações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. As primeiras consistem em tornar nossa moeda mais fraca, o que favorece a competitividade de nossas exportações ao mesmo tempo em que encarece as importações. Já a contenção da demanda interna envolve medidas como: a contração dos meios de pagamento, corte de despesas governamentais e os aumentos de impostos. Admite-se que tais medidas, ao levar a uma contração da procura interna de bens e serviços, desestimulem as importações e incentivem nossos produtores a exportar. Além disso, a contração monetária deve provocar a alta da taxa interna de juros, incentivando o afluxo de capitais para o país. Por fim, as medidas de restrição legal às importações são: aumento das tarifas aduaneiras, adoção de subsídios às exportações, controles quantitativos de importações, adoção de barreiras não tarifárias.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9-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Uma economia apresentou em determinado ano, o seguinte registro de suas transações com o exterior: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Exportações de mercadorias (FOB)=</w:t>
        <w:tab/>
        <w:tab/>
        <w:tab/>
        <w:tab/>
        <w:t xml:space="preserve">100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Importações de mercadorias (FOB)=</w:t>
        <w:tab/>
        <w:t xml:space="preserve"> </w:t>
        <w:tab/>
        <w:tab/>
        <w:tab/>
        <w:t xml:space="preserve">  90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Donativos (saldo líquido)=</w:t>
        <w:tab/>
        <w:tab/>
        <w:t xml:space="preserve">   </w:t>
        <w:tab/>
        <w:tab/>
        <w:tab/>
        <w:t xml:space="preserve">    5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Saldo do Balanço de Pagamentos em conta corrente = </w:t>
        <w:tab/>
        <w:tab/>
        <w:t xml:space="preserve">- 50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Movimento de capitais autônomos (saldo líquido)= </w:t>
        <w:tab/>
        <w:tab/>
        <w:tab/>
        <w:t xml:space="preserve">  10</w:t>
        <w:tab/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 acordo com estes dados, o saldo no balanço de serviços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-65 (déficit)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-70 (déficit)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-35 (déficit)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10 (superávit)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-15 (déficit)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RESPOSTA: a.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Sabe-se que o saldo do Balanço de Pagamento em conta corrente  (ou saldo no Balanço de Transações Correntes) é constituído pela soma do: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Saldo da Balança Comercial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Saldo da Balança de Serviços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Saldo das Transferências Unilaterais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 Saldo da Balança Comercial é +10 (pois as exportações foram 100 e as importações, 90).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 saldo das Tranferências Unilaterais é +5 (pois corresponde ao saldo líquido recebido de donativos).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 salto do Balanço de Transações correntes foi, entretanto, deficitário em -50. Isso nos leva a concluir que este déficit em conta corrente foi, portanto, ocasionado por um saldo negativo de 65 no balanço de serviços (+10 -65 +5 = -50). A alternativa correta é 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Observe que o saldo do Balanço de capitais autônomos (+10) não foi utilizado para a solução do problema, por não ser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10-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O Balanço de Pagamentos de determinado país acusa déficit em conta corrente e superávit no saldo total. Logo, pode-se afirmar que: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movimento de capitais autônomos supera, em valor absoluto, o saldo das transações correntes.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déficit em conta corrente deriva das remessas de lucros ao exterior pelas multinacionais.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balança comercial é deficitária e, em valor absoluto, maior que a balança de transações correntes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balança de serviços é deficitária.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diferença corresponde aos juros da dívida externa.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RESPOSTA: a.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 saldo total do Balanço de Pagamentos corresponde à soma algébrica  do saldo em conta corrente (ou saldo do Balanço de Transações Correntes) e do saldo do Balanço de Capitais (constituído, para efeito de contas, pela Movimentação de Capitais Autônomos). Se o saldo total for positivo, ocorreu superávit. Se for negativo, ocorreu déficit.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alternativa correta é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, pois para que o Balanço de Pagamentos possa apresentar superávit, tendo ocorrido um déficit nas Transações Correntes, é preciso que tenha havido um superávit no Movimento de Capitais Autônomos em valor superior ao déficit nas Transações Correntes.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