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a2c21"/>
          <w:sz w:val="96"/>
          <w:szCs w:val="96"/>
        </w:rPr>
        <w:t xml:space="preserve">BIST</w:t>
      </w:r>
    </w:p>
    <w:p>
      <w:pPr>
        <w:spacing w:after="240"/>
        <w:jc w:val="center"/>
      </w:pPr>
      <w:r>
        <w:rPr>
          <w:color w:val="1a2c21"/>
          <w:sz w:val="32"/>
          <w:szCs w:val="32"/>
        </w:rPr>
        <w:t xml:space="preserve">BDD Generation Tool</w:t>
      </w:r>
    </w:p>
    <w:p>
      <w:pPr>
        <w:spacing w:after="2880"/>
        <w:jc w:val="center"/>
      </w:pPr>
      <w:r>
        <w:rPr>
          <w:b/>
          <w:bCs/>
          <w:color w:val="a3fb73"/>
          <w:sz w:val="40"/>
          <w:szCs w:val="40"/>
        </w:rPr>
        <w:t xml:space="preserve">Manual de Identidade Visual</w:t>
      </w:r>
    </w:p>
    <w:p>
      <w:pPr>
        <w:spacing w:after="1440"/>
        <w:jc w:val="center"/>
      </w:pPr>
      <w:r>
        <w:rPr>
          <w:color w:val="666666"/>
          <w:sz w:val="24"/>
          <w:szCs w:val="24"/>
        </w:rPr>
        <w:t xml:space="preserve">Versão 1.0 • 2026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240"/>
      </w:pPr>
      <w:r>
        <w:t xml:space="preserve">Este manual apresenta as diretrizes de identidade visual do BIST, uma ferramenta de software especializada em geração de testes BDD (Behavior-Driven Development). O objetivo é garantir consistência visual em todas as aplicações e materiais relacionados ao projeto.</w:t>
      </w:r>
    </w:p>
    <w:p>
      <w:pPr>
        <w:spacing w:after="360"/>
      </w:pPr>
      <w:r>
        <w:t xml:space="preserve">A identidade visual do BIST reflete modernidade, tecnologia e confiabilidade através de uma paleta de cores em tons de verde e tipografia monoespaçada, remetendo ao ambiente de desenvolvimento de software.</w:t>
      </w:r>
    </w:p>
    <w:p>
      <w:pPr>
        <w:pStyle w:val="Heading1"/>
      </w:pPr>
      <w:r>
        <w:t xml:space="preserve">2. Paleta de Cores</w:t>
      </w:r>
    </w:p>
    <w:p>
      <w:pPr>
        <w:spacing w:after="240"/>
      </w:pPr>
      <w:r>
        <w:t xml:space="preserve">A paleta de cores do BIST segue a regra 60-20-10 para criar hierarquia visual e equilíbrio:</w:t>
      </w:r>
    </w:p>
    <w:p>
      <w:pPr>
        <w:spacing w:after="360"/>
      </w:pPr>
      <w:r>
        <w:rPr>
          <w:b/>
          <w:bCs/>
        </w:rPr>
        <w:t xml:space="preserve">• 60% Cor Primária</w:t>
      </w:r>
      <w:r>
        <w:t xml:space="preserve"> - Uso dominante em backgrounds, áreas grandes
</w:t>
      </w:r>
      <w:r>
        <w:rPr>
          <w:b/>
          <w:bCs/>
        </w:rPr>
        <w:t xml:space="preserve">• 20% Cor Secundária</w:t>
      </w:r>
      <w:r>
        <w:t xml:space="preserve"> - Apoio e elementos complementares
</w:t>
      </w:r>
      <w:r>
        <w:rPr>
          <w:b/>
          <w:bCs/>
        </w:rPr>
        <w:t xml:space="preserve">• 10% Cor de Destaque</w:t>
      </w:r>
      <w:r>
        <w:t xml:space="preserve"> - Acentos, destaques e chamadas de atenção</w:t>
      </w:r>
    </w:p>
    <w:p>
      <w:pPr>
        <w:pStyle w:val="Heading2"/>
      </w:pPr>
      <w:r>
        <w:t xml:space="preserve">2.1. Especificações das Cores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40"/>
        <w:gridCol w:w="1800"/>
        <w:gridCol w:w="1620"/>
        <w:gridCol w:w="18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Amostra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c21" w:val="clear"/>
            <w:tcMar>
              <w:top w:type="dxa" w:w="240"/>
              <w:left w:type="dxa" w:w="120"/>
              <w:bottom w:type="dxa" w:w="240"/>
              <w:right w:type="dxa" w:w="120"/>
            </w:tcMar>
            <w:vAlign w:val="center"/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Verde Escuro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#1a2c21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26, 44, 33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fb73" w:val="clear"/>
            <w:tcMar>
              <w:top w:type="dxa" w:w="240"/>
              <w:left w:type="dxa" w:w="120"/>
              <w:bottom w:type="dxa" w:w="240"/>
              <w:right w:type="dxa" w:w="120"/>
            </w:tcMar>
            <w:vAlign w:val="center"/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Verde Claro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#a3fb73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163, 251, 115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e8" w:val="clear"/>
            <w:tcMar>
              <w:top w:type="dxa" w:w="240"/>
              <w:left w:type="dxa" w:w="120"/>
              <w:bottom w:type="dxa" w:w="240"/>
              <w:right w:type="dxa" w:w="120"/>
            </w:tcMar>
            <w:vAlign w:val="center"/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Verde Pálido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#eef9e8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238, 249, 232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10%</w:t>
            </w:r>
          </w:p>
        </w:tc>
      </w:tr>
    </w:tbl>
    <w:p>
      <w:pPr>
        <w:pStyle w:val="Heading2"/>
      </w:pPr>
      <w:r>
        <w:t xml:space="preserve">2.2. Aplicação das Cores</w:t>
      </w:r>
    </w:p>
    <w:p>
      <w:pPr>
        <w:pStyle w:val="Heading3"/>
      </w:pPr>
      <w:r>
        <w:t xml:space="preserve">Cor Primária - Verde Escuro (#1a2c21)</w:t>
      </w:r>
    </w:p>
    <w:p>
      <w:pPr>
        <w:spacing w:after="240"/>
      </w:pPr>
      <w:r>
        <w:t xml:space="preserve">Use como cor dominante em:
• Backgrounds de interfaces
• Áreas extensas de conteúdo
• Headers e footers
• Fundos de seções principais
• Textos sobre fundos claros</w:t>
      </w:r>
    </w:p>
    <w:p>
      <w:pPr>
        <w:pStyle w:val="Heading3"/>
      </w:pPr>
      <w:r>
        <w:t xml:space="preserve">Cor Secundária - Verde Claro (#a3fb73)</w:t>
      </w:r>
    </w:p>
    <w:p>
      <w:pPr>
        <w:spacing w:after="240"/>
      </w:pPr>
      <w:r>
        <w:t xml:space="preserve">Use para apoio visual:
• Elementos interativos (botões, links)
• Ícones e ilustrações
• Barras de progresso
• Highlights de código
• Elementos de navegação</w:t>
      </w:r>
    </w:p>
    <w:p>
      <w:pPr>
        <w:pStyle w:val="Heading3"/>
      </w:pPr>
      <w:r>
        <w:t xml:space="preserve">Cor de Destaque - Verde Pálido (#eef9e8)</w:t>
      </w:r>
    </w:p>
    <w:p>
      <w:pPr>
        <w:spacing w:after="480"/>
      </w:pPr>
      <w:r>
        <w:t xml:space="preserve">Use com moderação para:
• Backgrounds de cards e painéis
• Estados hover de botões
• Áreas de destaque temporário
• Notificações de sucesso
• Separadores visuais</w:t>
      </w:r>
    </w:p>
    <w:p>
      <w:r>
        <w:br w:type="page"/>
      </w:r>
    </w:p>
    <w:p>
      <w:pPr>
        <w:pStyle w:val="Heading1"/>
      </w:pPr>
      <w:r>
        <w:t xml:space="preserve">3. Tipografia</w:t>
      </w:r>
    </w:p>
    <w:p>
      <w:pPr>
        <w:spacing w:after="240"/>
      </w:pPr>
      <w:r>
        <w:t xml:space="preserve">A tipografia do BIST utiliza fontes monoespaçadas que evocam o ambiente de programação e desenvolvimento de software, reforçando a identidade técnica da ferramenta.</w:t>
      </w:r>
    </w:p>
    <w:p>
      <w:pPr>
        <w:pStyle w:val="Heading2"/>
      </w:pPr>
      <w:r>
        <w:t xml:space="preserve">3.1. Hierarquia de Fontes</w:t>
      </w:r>
    </w:p>
    <w:p>
      <w:pPr>
        <w:pStyle w:val="Heading3"/>
      </w:pPr>
      <w:r>
        <w:t xml:space="preserve">1. Consolas (Primária)</w:t>
      </w:r>
    </w:p>
    <w:p>
      <w:pPr>
        <w:spacing w:after="180"/>
      </w:pPr>
      <w:r>
        <w:rPr>
          <w:rFonts w:ascii="Consolas" w:cs="Consolas" w:eastAsia="Consolas" w:hAnsi="Consolas"/>
        </w:rPr>
        <w:t xml:space="preserve">Fonte principal para:
• Código e snippets
• Logs e outputs
• Documentação técnica
• Interface da aplicação</w:t>
      </w:r>
    </w:p>
    <w:p>
      <w:pPr>
        <w:spacing w:after="360"/>
      </w:pPr>
      <w:r>
        <w:t xml:space="preserve">Características: Monoespaçada, alta legibilidade, ampla disponibilidade em sistemas Windows e disponível via web fonts.</w:t>
      </w:r>
    </w:p>
    <w:p>
      <w:pPr>
        <w:pStyle w:val="Heading3"/>
      </w:pPr>
      <w:r>
        <w:t xml:space="preserve">2. Komsoomol (Secundária)</w:t>
      </w:r>
    </w:p>
    <w:p>
      <w:pPr>
        <w:spacing w:after="180"/>
      </w:pPr>
      <w:r>
        <w:t xml:space="preserve">Fonte alternativa para:
• Títulos e headings
• Logos e branding
• Materiais promocionais
• Interfaces especiais</w:t>
      </w:r>
    </w:p>
    <w:p>
      <w:pPr>
        <w:spacing w:after="360"/>
      </w:pPr>
      <w:r>
        <w:t xml:space="preserve">Características: Estilo único e distintivo, boa para hierarquia visual, uso moderado recomendado.</w:t>
      </w:r>
    </w:p>
    <w:p>
      <w:pPr>
        <w:pStyle w:val="Heading3"/>
      </w:pPr>
      <w:r>
        <w:t xml:space="preserve">3. TT Autonomos (Terciária)</w:t>
      </w:r>
    </w:p>
    <w:p>
      <w:pPr>
        <w:spacing w:after="180"/>
      </w:pPr>
      <w:r>
        <w:t xml:space="preserve">Fonte complementar para:
• Elementos decorativos
• Variações de estilo
• Contextos específicos
• Design alternativo</w:t>
      </w:r>
    </w:p>
    <w:p>
      <w:pPr>
        <w:spacing w:after="480"/>
      </w:pPr>
      <w:r>
        <w:t xml:space="preserve">Características: Moderna e técnica, compatível com o tema monoespaçado, uso seletivo.</w:t>
      </w:r>
    </w:p>
    <w:p>
      <w:pPr>
        <w:pStyle w:val="Heading2"/>
      </w:pPr>
      <w:r>
        <w:t xml:space="preserve">3.2. Escalas Tipográficas Recomendadas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Elemento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Tamanho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Peso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H1 - Título Principal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32-48px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Bold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H2 - Subtítulo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24-32px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Bold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H3 - Seção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20-24px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Semi-Bold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Body - Texto Padrão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14-16px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Regular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Small - Texto Pequeno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12-14px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Regular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Code - Código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13-15px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 xml:space="preserve">Regular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Logo e Aplicações</w:t>
      </w:r>
    </w:p>
    <w:p>
      <w:pPr>
        <w:pStyle w:val="Heading2"/>
      </w:pPr>
      <w:r>
        <w:t xml:space="preserve">4.1. Variações do Logo</w:t>
      </w:r>
    </w:p>
    <w:p>
      <w:pPr>
        <w:spacing w:after="240"/>
      </w:pPr>
      <w:r>
        <w:t xml:space="preserve">O logo BIST possui três variações principais conforme as imagens fornecidas:</w:t>
      </w:r>
    </w:p>
    <w:p>
      <w:pPr>
        <w:pStyle w:val="Heading3"/>
      </w:pPr>
      <w:r>
        <w:t xml:space="preserve">Variação 1: Verde Claro sobre Verde Escuro</w:t>
      </w:r>
    </w:p>
    <w:p>
      <w:pPr>
        <w:spacing w:after="180"/>
      </w:pPr>
      <w:r>
        <w:t xml:space="preserve">• Fundo: #1a2c21 (Verde Escuro)
• Letras: #a3fb73 (Verde Claro)
• Uso: Backgrounds escuros, headers, interfaces dark mode</w:t>
      </w:r>
    </w:p>
    <w:p>
      <w:pPr>
        <w:pStyle w:val="Heading3"/>
      </w:pPr>
      <w:r>
        <w:t xml:space="preserve">Variação 2: Verde Escuro sobre Verde Pálido</w:t>
      </w:r>
    </w:p>
    <w:p>
      <w:pPr>
        <w:spacing w:after="180"/>
      </w:pPr>
      <w:r>
        <w:t xml:space="preserve">• Fundo: #eef9e8 (Verde Pálido)
• Letras: #1a2c21 (Verde Escuro)
• Uso: Backgrounds claros, documentos impressos, apresentações</w:t>
      </w:r>
    </w:p>
    <w:p>
      <w:pPr>
        <w:pStyle w:val="Heading3"/>
      </w:pPr>
      <w:r>
        <w:t xml:space="preserve">Variação 3: Branco sobre Verde Claro</w:t>
      </w:r>
    </w:p>
    <w:p>
      <w:pPr>
        <w:spacing w:after="360"/>
      </w:pPr>
      <w:r>
        <w:t xml:space="preserve">• Fundo: #a3fb73 (Verde Claro)
• Letras: #FFFFFF (Branco)
• Uso: Call-to-actions, banners promocionais, elementos de destaque</w:t>
      </w:r>
    </w:p>
    <w:p>
      <w:pPr>
        <w:pStyle w:val="Heading2"/>
      </w:pPr>
      <w:r>
        <w:t xml:space="preserve">4.2. Área de Proteção</w:t>
      </w:r>
    </w:p>
    <w:p>
      <w:pPr>
        <w:spacing w:after="240"/>
      </w:pPr>
      <w:r>
        <w:t xml:space="preserve">Mantenha um espaço mínimo equivalente à altura da letra 'I' em todas as direções ao redor do logo. Este espaço garante que o logo tenha respiração visual adequada e não seja ofuscado por outros elementos.</w:t>
      </w:r>
    </w:p>
    <w:p>
      <w:pPr>
        <w:pStyle w:val="Heading2"/>
      </w:pPr>
      <w:r>
        <w:t xml:space="preserve">4.3. Tamanhos Mínimos</w:t>
      </w:r>
    </w:p>
    <w:p>
      <w:pPr>
        <w:spacing w:after="360"/>
      </w:pPr>
      <w:r>
        <w:t xml:space="preserve">• Digital (web/apps): Mínimo 120px de largura
• Impressão: Mínimo 25mm de largura
• Favicon: 32x32px (versão simplificada)</w:t>
      </w:r>
    </w:p>
    <w:p>
      <w:r>
        <w:br w:type="page"/>
      </w:r>
    </w:p>
    <w:p>
      <w:pPr>
        <w:pStyle w:val="Heading1"/>
      </w:pPr>
      <w:r>
        <w:t xml:space="preserve">5. Componentes de Interface</w:t>
      </w:r>
    </w:p>
    <w:p>
      <w:pPr>
        <w:pStyle w:val="Heading2"/>
      </w:pPr>
      <w:r>
        <w:t xml:space="preserve">5.1. Botões</w:t>
      </w:r>
    </w:p>
    <w:p>
      <w:pPr>
        <w:spacing w:after="180"/>
      </w:pPr>
      <w:r>
        <w:rPr>
          <w:b/>
          <w:bCs/>
        </w:rPr>
        <w:t xml:space="preserve">Botão Primário:
</w:t>
      </w:r>
      <w:r>
        <w:t xml:space="preserve">• Background: #a3fb73
• Texto: #1a2c21
• Hover: #8ee05a
• Border-radius: 4px
• Padding: 12px 24px</w:t>
      </w:r>
    </w:p>
    <w:p>
      <w:pPr>
        <w:spacing w:after="360"/>
      </w:pPr>
      <w:r>
        <w:rPr>
          <w:b/>
          <w:bCs/>
        </w:rPr>
        <w:t xml:space="preserve">Botão Secundário:
</w:t>
      </w:r>
      <w:r>
        <w:t xml:space="preserve">• Background: transparent
• Texto: #a3fb73
• Border: 2px solid #a3fb73
• Hover: Background #1a2c21
• Border-radius: 4px</w:t>
      </w:r>
    </w:p>
    <w:p>
      <w:pPr>
        <w:pStyle w:val="Heading2"/>
      </w:pPr>
      <w:r>
        <w:t xml:space="preserve">5.2. Cards e Painéis</w:t>
      </w:r>
    </w:p>
    <w:p>
      <w:pPr>
        <w:spacing w:after="360"/>
      </w:pPr>
      <w:r>
        <w:t xml:space="preserve">• Background: #eef9e8 ou #FFFFFF
• Border: 1px solid #a3fb73
• Border-radius: 8px
• Box-shadow: 0 2px 8px rgba(26, 44, 33, 0.1)
• Padding: 24px</w:t>
      </w:r>
    </w:p>
    <w:p>
      <w:pPr>
        <w:pStyle w:val="Heading2"/>
      </w:pPr>
      <w:r>
        <w:t xml:space="preserve">5.3. Formulários</w:t>
      </w:r>
    </w:p>
    <w:p>
      <w:pPr>
        <w:spacing w:after="360"/>
      </w:pPr>
      <w:r>
        <w:t xml:space="preserve">• Input background: #FFFFFF
• Input border: 1px solid #a3fb73
• Input focus: 2px solid #a3fb73
• Label color: #1a2c21
• Placeholder: #7a9b87
• Border-radius: 4px</w:t>
      </w:r>
    </w:p>
    <w:p>
      <w:pPr>
        <w:pStyle w:val="Heading2"/>
      </w:pPr>
      <w:r>
        <w:t xml:space="preserve">5.4. Código e Syntax Highlighting</w:t>
      </w:r>
    </w:p>
    <w:p>
      <w:pPr>
        <w:spacing w:after="480"/>
      </w:pPr>
      <w:r>
        <w:t xml:space="preserve">• Background: #1a2c21
• Texto base: #eef9e8
• Keywords: #a3fb73
• Strings: #c4e8a8
• Comments: #5a7a65
• Functions: #7dd151
• Font: Consolas, monospace</w:t>
      </w:r>
    </w:p>
    <w:p>
      <w:r>
        <w:br w:type="page"/>
      </w:r>
    </w:p>
    <w:p>
      <w:pPr>
        <w:pStyle w:val="Heading1"/>
      </w:pPr>
      <w:r>
        <w:t xml:space="preserve">6. Aplicação em Diferentes Mídias</w:t>
      </w:r>
    </w:p>
    <w:p>
      <w:pPr>
        <w:pStyle w:val="Heading2"/>
      </w:pPr>
      <w:r>
        <w:t xml:space="preserve">6.1. Aplicações Web</w:t>
      </w:r>
    </w:p>
    <w:p>
      <w:pPr>
        <w:spacing w:after="240"/>
      </w:pPr>
      <w:r>
        <w:t xml:space="preserve">• Use a variação verde claro sobre verde escuro como padrão
• Headers e footers: fundo #1a2c21
• Conteúdo principal: fundo #eef9e8 ou branco
• CTAs e elementos interativos: #a3fb73
• Consolas como fonte primária para código e interface</w:t>
      </w:r>
    </w:p>
    <w:p>
      <w:pPr>
        <w:pStyle w:val="Heading2"/>
      </w:pPr>
      <w:r>
        <w:t xml:space="preserve">6.2. Documentação</w:t>
      </w:r>
    </w:p>
    <w:p>
      <w:pPr>
        <w:spacing w:after="240"/>
      </w:pPr>
      <w:r>
        <w:t xml:space="preserve">• Fundo branco com elementos em #1a2c21
• Destaques e notas: fundo #eef9e8
• Code blocks: fundo #1a2c21 com texto #a3fb73
• Links e referências: #a3fb73
• Consolas para código, Arial para texto corrido</w:t>
      </w:r>
    </w:p>
    <w:p>
      <w:pPr>
        <w:pStyle w:val="Heading2"/>
      </w:pPr>
      <w:r>
        <w:t xml:space="preserve">6.3. Apresentações</w:t>
      </w:r>
    </w:p>
    <w:p>
      <w:pPr>
        <w:spacing w:after="240"/>
      </w:pPr>
      <w:r>
        <w:t xml:space="preserve">• Slide título: fundo #1a2c21, texto #a3fb73
• Slides de conteúdo: fundo #eef9e8, texto #1a2c21
• Ênfases e destaques: #a3fb73
• Use Komsoomol para títulos de slides
• Consolas para código e dados técnicos</w:t>
      </w:r>
    </w:p>
    <w:p>
      <w:pPr>
        <w:pStyle w:val="Heading2"/>
      </w:pPr>
      <w:r>
        <w:t xml:space="preserve">6.4. Redes Sociais</w:t>
      </w:r>
    </w:p>
    <w:p>
      <w:pPr>
        <w:spacing w:after="480"/>
      </w:pPr>
      <w:r>
        <w:t xml:space="preserve">• Posts: fundo #a3fb73 com logo branco ou fundo #1a2c21 com logo verde claro
• Profile pictures: logo verde claro sobre verde escuro
• Banners: composição com as três cores seguindo 60-20-10
• Use sempre fontes legíveis (Consolas ou Arial)</w:t>
      </w:r>
    </w:p>
    <w:p>
      <w:pPr>
        <w:pStyle w:val="Heading1"/>
      </w:pPr>
      <w:r>
        <w:t xml:space="preserve">7. Diretrizes de Uso Incorreto</w:t>
      </w:r>
    </w:p>
    <w:p>
      <w:pPr>
        <w:spacing w:after="180"/>
      </w:pPr>
      <w:r>
        <w:rPr>
          <w:b/>
          <w:bCs/>
        </w:rPr>
        <w:t xml:space="preserve">Evite:
</w:t>
      </w:r>
    </w:p>
    <w:p>
      <w:pPr>
        <w:spacing w:after="240"/>
      </w:pPr>
      <w:r>
        <w:t xml:space="preserve">✗ Alterar as cores oficiais da paleta
✗ Distorcer ou inclinar o logo
✗ Adicionar efeitos de sombra ou brilho ao logo
✗ Usar o logo sobre imagens complexas sem contraste adequado
✗ Reduzir o logo abaixo dos tamanhos mínimos especificados
✗ Usar fontes que não sejam Consolas, Komsoomol ou TT Autonomos
✗ Inverter ou rotacionar o logo
✗ Recriar o logo com fontes diferentes
✗ Usar gradientes nas cores principais
✗ Combinar com outras paletas de cores</w:t>
      </w:r>
    </w:p>
    <w:p>
      <w:r>
        <w:br w:type="page"/>
      </w:r>
    </w:p>
    <w:p>
      <w:pPr>
        <w:pStyle w:val="Heading1"/>
      </w:pPr>
      <w:r>
        <w:t xml:space="preserve">8. Recursos e Arquivos</w:t>
      </w:r>
    </w:p>
    <w:p>
      <w:pPr>
        <w:pStyle w:val="Heading2"/>
      </w:pPr>
      <w:r>
        <w:t xml:space="preserve">8.1. Formatos de Logo Disponíveis</w:t>
      </w:r>
    </w:p>
    <w:p>
      <w:pPr>
        <w:spacing w:after="240"/>
      </w:pPr>
      <w:r>
        <w:t xml:space="preserve">• PNG (transparente) - para web e apresentações
• SVG (vetorial) - para escalabilidade perfeita
• PDF (vetorial) - para impressão profissional
• ICO - para favicon e ícones de aplicativo</w:t>
      </w:r>
    </w:p>
    <w:p>
      <w:pPr>
        <w:pStyle w:val="Heading2"/>
      </w:pPr>
      <w:r>
        <w:t xml:space="preserve">8.2. Assets Complementares</w:t>
      </w:r>
    </w:p>
    <w:p>
      <w:pPr>
        <w:spacing w:after="360"/>
      </w:pPr>
      <w:r>
        <w:t xml:space="preserve">• Templates de apresentação (PPTX, Google Slides)
• Templates de documento (DOCX, Markdown)
• Ícones e elementos gráficos
• Paletas de cores para design tools (Adobe, Figma, Sketch)
• Guias de código CSS/SCSS com variáveis de cor</w:t>
      </w:r>
    </w:p>
    <w:p>
      <w:pPr>
        <w:pStyle w:val="Heading1"/>
      </w:pPr>
      <w:r>
        <w:t xml:space="preserve">9. Referências Técnicas</w:t>
      </w:r>
    </w:p>
    <w:p>
      <w:pPr>
        <w:pStyle w:val="Heading2"/>
      </w:pPr>
      <w:r>
        <w:t xml:space="preserve">9.1. Variáveis CSS</w:t>
      </w:r>
    </w:p>
    <w:p>
      <w:pPr>
        <w:spacing w:after="240"/>
      </w:pPr>
      <w:r>
        <w:rPr>
          <w:rFonts w:ascii="Consolas" w:cs="Consolas" w:eastAsia="Consolas" w:hAnsi="Consolas"/>
        </w:rPr>
        <w:t xml:space="preserve">:root {
  --color-primary: #1a2c21;
  --color-secondary: #a3fb73;
  --color-accent: #eef9e8;
  --font-primary: 'Consolas', monospace;
  --font-secondary: 'Komsoomol', sans-serif;
  --font-tertiary: 'TT Autonomos', sans-serif;
}</w:t>
      </w:r>
    </w:p>
    <w:p>
      <w:pPr>
        <w:pStyle w:val="Heading2"/>
      </w:pPr>
      <w:r>
        <w:t xml:space="preserve">9.2. Valores de Acessibilidade</w:t>
      </w:r>
    </w:p>
    <w:p>
      <w:pPr>
        <w:spacing w:after="360"/>
      </w:pPr>
      <w:r>
        <w:t xml:space="preserve">Contrastes WCAG 2.1:
• Verde Escuro (#1a2c21) sobre Branco: 12.5:1 (AAA)
• Verde Claro (#a3fb73) sobre Verde Escuro: 8.2:1 (AAA)
• Verde Escuro sobre Verde Pálido: 11.8:1 (AAA)
Todos os contrastes atendem aos padrões AAA de acessibilidade.</w:t>
      </w:r>
    </w:p>
    <w:p>
      <w:pPr>
        <w:pStyle w:val="Heading1"/>
      </w:pPr>
      <w:r>
        <w:t xml:space="preserve">10. Contato e Atualizações</w:t>
      </w:r>
    </w:p>
    <w:p>
      <w:pPr>
        <w:spacing w:after="240"/>
      </w:pPr>
      <w:r>
        <w:t xml:space="preserve">Este manual de identidade visual é um documento vivo e será atualizado conforme o projeto BIST evolui. Para dúvidas sobre aplicação das diretrizes ou solicitação de novos recursos, entre em contato com a equipe de design.</w:t>
      </w:r>
    </w:p>
    <w:p>
      <w:pPr>
        <w:spacing w:after="480"/>
      </w:pPr>
      <w:r>
        <w:rPr>
          <w:i/>
          <w:iCs/>
          <w:color w:val="666666"/>
        </w:rPr>
        <w:t xml:space="preserve">Última atualização: Abril de 2026
Versão: 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2c2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2c21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2c2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2026-04-16T18:42:38.626Z</dcterms:created>
  <dcterms:modified xsi:type="dcterms:W3CDTF">2026-04-16T18:42:38.627Z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