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7685F" w14:textId="6BFF220C" w:rsidR="00A84EA1" w:rsidRPr="00A84EA1" w:rsidRDefault="00A84EA1" w:rsidP="00A84EA1">
      <w:pPr>
        <w:rPr>
          <w:sz w:val="24"/>
          <w:szCs w:val="24"/>
        </w:rPr>
      </w:pPr>
      <w:r w:rsidRPr="00A84EA1">
        <w:rPr>
          <w:sz w:val="24"/>
          <w:szCs w:val="24"/>
        </w:rPr>
        <w:t>Fontes:</w:t>
      </w:r>
    </w:p>
    <w:p w14:paraId="4C9F1815" w14:textId="1CF54784" w:rsidR="00A84EA1" w:rsidRPr="00A84EA1" w:rsidRDefault="00A84EA1" w:rsidP="00A84EA1">
      <w:pPr>
        <w:rPr>
          <w:sz w:val="24"/>
          <w:szCs w:val="24"/>
        </w:rPr>
      </w:pPr>
      <w:hyperlink r:id="rId4" w:history="1">
        <w:r w:rsidRPr="00A84EA1">
          <w:rPr>
            <w:rStyle w:val="Hiperligao"/>
            <w:sz w:val="24"/>
            <w:szCs w:val="24"/>
          </w:rPr>
          <w:t>https://www.ibm.com/br-pt/think/topics/optical-character-recognition</w:t>
        </w:r>
      </w:hyperlink>
    </w:p>
    <w:p w14:paraId="6E205309" w14:textId="77777777" w:rsidR="00A84EA1" w:rsidRPr="00A84EA1" w:rsidRDefault="00A84EA1" w:rsidP="00A84EA1">
      <w:pPr>
        <w:rPr>
          <w:sz w:val="24"/>
          <w:szCs w:val="24"/>
        </w:rPr>
      </w:pPr>
    </w:p>
    <w:p w14:paraId="22B867CB" w14:textId="664CF74C" w:rsidR="00A84EA1" w:rsidRPr="00A84EA1" w:rsidRDefault="00A84EA1" w:rsidP="00A84EA1">
      <w:pPr>
        <w:rPr>
          <w:sz w:val="24"/>
          <w:szCs w:val="24"/>
        </w:rPr>
      </w:pPr>
      <w:hyperlink r:id="rId5" w:history="1">
        <w:r w:rsidRPr="00A84EA1">
          <w:rPr>
            <w:rStyle w:val="Hiperligao"/>
            <w:sz w:val="24"/>
            <w:szCs w:val="24"/>
          </w:rPr>
          <w:t>https://www.xtendsol.com/en/content/26205/the-evolution-of-ocr-to-intelligent-ai-xtends</w:t>
        </w:r>
      </w:hyperlink>
    </w:p>
    <w:p w14:paraId="4DCAE771" w14:textId="77777777" w:rsidR="00A84EA1" w:rsidRPr="00A84EA1" w:rsidRDefault="00A84EA1" w:rsidP="00A84EA1">
      <w:pPr>
        <w:rPr>
          <w:sz w:val="24"/>
          <w:szCs w:val="24"/>
        </w:rPr>
      </w:pPr>
    </w:p>
    <w:p w14:paraId="6492B076" w14:textId="586DA7A7" w:rsidR="00A84EA1" w:rsidRPr="00A84EA1" w:rsidRDefault="00A84EA1" w:rsidP="00A84EA1">
      <w:pPr>
        <w:rPr>
          <w:sz w:val="24"/>
          <w:szCs w:val="24"/>
        </w:rPr>
      </w:pPr>
      <w:hyperlink r:id="rId6" w:history="1">
        <w:r w:rsidRPr="00A84EA1">
          <w:rPr>
            <w:rStyle w:val="Hiperligao"/>
            <w:sz w:val="24"/>
            <w:szCs w:val="24"/>
          </w:rPr>
          <w:t>https://museum.ipsj.or.jp/en/computer/ocr/history.html</w:t>
        </w:r>
      </w:hyperlink>
    </w:p>
    <w:p w14:paraId="1AE9DF3C" w14:textId="77777777" w:rsidR="00A84EA1" w:rsidRPr="00A84EA1" w:rsidRDefault="00A84EA1" w:rsidP="00A84EA1">
      <w:pPr>
        <w:rPr>
          <w:sz w:val="24"/>
          <w:szCs w:val="24"/>
        </w:rPr>
      </w:pPr>
    </w:p>
    <w:p w14:paraId="3083A3E9" w14:textId="0CACEDD6" w:rsidR="00A84EA1" w:rsidRPr="00A84EA1" w:rsidRDefault="00A84EA1" w:rsidP="00A84EA1">
      <w:pPr>
        <w:rPr>
          <w:sz w:val="24"/>
          <w:szCs w:val="24"/>
        </w:rPr>
      </w:pPr>
      <w:hyperlink r:id="rId7" w:history="1">
        <w:r w:rsidRPr="00A84EA1">
          <w:rPr>
            <w:rStyle w:val="Hiperligao"/>
            <w:sz w:val="24"/>
            <w:szCs w:val="24"/>
          </w:rPr>
          <w:t>https://pt.wikipedia.org/wiki/Reconhecimento_%C3%B3tico_de_caracteres</w:t>
        </w:r>
      </w:hyperlink>
    </w:p>
    <w:p w14:paraId="4C96EA6F" w14:textId="77777777" w:rsidR="00A84EA1" w:rsidRDefault="00A84EA1" w:rsidP="000F02CE">
      <w:pPr>
        <w:jc w:val="center"/>
        <w:rPr>
          <w:b/>
          <w:bCs/>
          <w:sz w:val="44"/>
          <w:szCs w:val="44"/>
        </w:rPr>
      </w:pPr>
    </w:p>
    <w:p w14:paraId="76FB33BD" w14:textId="77777777" w:rsidR="00A84EA1" w:rsidRDefault="00A84EA1" w:rsidP="000F02CE">
      <w:pPr>
        <w:jc w:val="center"/>
        <w:rPr>
          <w:b/>
          <w:bCs/>
          <w:sz w:val="44"/>
          <w:szCs w:val="44"/>
        </w:rPr>
      </w:pPr>
    </w:p>
    <w:p w14:paraId="07F9C824" w14:textId="77777777" w:rsidR="00A84EA1" w:rsidRDefault="00A84EA1" w:rsidP="000F02CE">
      <w:pPr>
        <w:jc w:val="center"/>
        <w:rPr>
          <w:b/>
          <w:bCs/>
          <w:sz w:val="44"/>
          <w:szCs w:val="44"/>
        </w:rPr>
      </w:pPr>
    </w:p>
    <w:p w14:paraId="123318C8" w14:textId="77777777" w:rsidR="00A84EA1" w:rsidRDefault="00A84EA1" w:rsidP="000F02CE">
      <w:pPr>
        <w:jc w:val="center"/>
        <w:rPr>
          <w:b/>
          <w:bCs/>
          <w:sz w:val="44"/>
          <w:szCs w:val="44"/>
        </w:rPr>
      </w:pPr>
    </w:p>
    <w:p w14:paraId="59F005BB" w14:textId="5431B67F" w:rsidR="00D00FC3" w:rsidRDefault="000F02CE" w:rsidP="000F02CE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Leitor de tela com IA</w:t>
      </w:r>
    </w:p>
    <w:p w14:paraId="51CBAE26" w14:textId="77777777" w:rsidR="000F02CE" w:rsidRDefault="000F02CE" w:rsidP="000F02CE">
      <w:pPr>
        <w:jc w:val="center"/>
        <w:rPr>
          <w:b/>
          <w:bCs/>
          <w:sz w:val="44"/>
          <w:szCs w:val="44"/>
        </w:rPr>
      </w:pPr>
    </w:p>
    <w:p w14:paraId="061A78D7" w14:textId="547D4F0D" w:rsidR="000F02CE" w:rsidRDefault="00A82C6D" w:rsidP="00A82C6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Contextualização histórica</w:t>
      </w:r>
    </w:p>
    <w:p w14:paraId="01BDA07B" w14:textId="77777777" w:rsidR="00A82C6D" w:rsidRDefault="00A82C6D" w:rsidP="00F758EE">
      <w:pPr>
        <w:rPr>
          <w:b/>
          <w:bCs/>
          <w:sz w:val="40"/>
          <w:szCs w:val="40"/>
        </w:rPr>
      </w:pPr>
    </w:p>
    <w:p w14:paraId="4F462987" w14:textId="317DF6C2" w:rsidR="00A82C6D" w:rsidRDefault="00A82C6D" w:rsidP="00A82C6D">
      <w:pPr>
        <w:rPr>
          <w:sz w:val="32"/>
          <w:szCs w:val="32"/>
        </w:rPr>
      </w:pPr>
      <w:r>
        <w:rPr>
          <w:sz w:val="32"/>
          <w:szCs w:val="32"/>
        </w:rPr>
        <w:t xml:space="preserve">A leitura de ecrã tem sido fundamental para a acessibilidade digital, permite que pessoas com deficiências visuais utilizem computadores, smartphones e outros dispositivos digitais, seja para lazer, trabalho ou para estarem a par com a atualidade. Esta tecnologia traduz elementos textuais e visuais da uma tela em informação auditiva ou </w:t>
      </w:r>
      <w:r w:rsidR="00423111">
        <w:rPr>
          <w:sz w:val="32"/>
          <w:szCs w:val="32"/>
        </w:rPr>
        <w:t>tátil</w:t>
      </w:r>
      <w:r>
        <w:rPr>
          <w:sz w:val="32"/>
          <w:szCs w:val="32"/>
        </w:rPr>
        <w:t xml:space="preserve">, </w:t>
      </w:r>
      <w:r w:rsidR="00423111">
        <w:rPr>
          <w:sz w:val="32"/>
          <w:szCs w:val="32"/>
        </w:rPr>
        <w:t>possibilitando</w:t>
      </w:r>
      <w:r>
        <w:rPr>
          <w:sz w:val="32"/>
          <w:szCs w:val="32"/>
        </w:rPr>
        <w:t xml:space="preserve"> uma navegação </w:t>
      </w:r>
      <w:r w:rsidR="00423111">
        <w:rPr>
          <w:sz w:val="32"/>
          <w:szCs w:val="32"/>
        </w:rPr>
        <w:t>autónoma</w:t>
      </w:r>
      <w:r>
        <w:rPr>
          <w:sz w:val="32"/>
          <w:szCs w:val="32"/>
        </w:rPr>
        <w:t>.</w:t>
      </w:r>
    </w:p>
    <w:p w14:paraId="266285EA" w14:textId="77777777" w:rsidR="00A82C6D" w:rsidRDefault="00A82C6D" w:rsidP="00A82C6D">
      <w:pPr>
        <w:rPr>
          <w:sz w:val="32"/>
          <w:szCs w:val="32"/>
        </w:rPr>
      </w:pPr>
    </w:p>
    <w:p w14:paraId="2E84578E" w14:textId="3FAFF76E" w:rsidR="00A82C6D" w:rsidRDefault="00A82C6D" w:rsidP="00A82C6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As origens: OCR (Reconhecimento </w:t>
      </w:r>
      <w:r w:rsidR="00423111">
        <w:rPr>
          <w:b/>
          <w:bCs/>
          <w:sz w:val="40"/>
          <w:szCs w:val="40"/>
        </w:rPr>
        <w:t>ótico</w:t>
      </w:r>
      <w:r>
        <w:rPr>
          <w:b/>
          <w:bCs/>
          <w:sz w:val="40"/>
          <w:szCs w:val="40"/>
        </w:rPr>
        <w:t xml:space="preserve"> de caracteres)</w:t>
      </w:r>
    </w:p>
    <w:p w14:paraId="5DEB22DC" w14:textId="01EDC480" w:rsidR="00B409E8" w:rsidRDefault="00A82C6D" w:rsidP="00A82C6D">
      <w:pPr>
        <w:rPr>
          <w:sz w:val="32"/>
          <w:szCs w:val="32"/>
        </w:rPr>
      </w:pPr>
      <w:r>
        <w:rPr>
          <w:sz w:val="32"/>
          <w:szCs w:val="32"/>
        </w:rPr>
        <w:t xml:space="preserve">As primeiras </w:t>
      </w:r>
      <w:r w:rsidR="00423111">
        <w:rPr>
          <w:sz w:val="32"/>
          <w:szCs w:val="32"/>
        </w:rPr>
        <w:t>experiências</w:t>
      </w:r>
      <w:r>
        <w:rPr>
          <w:sz w:val="32"/>
          <w:szCs w:val="32"/>
        </w:rPr>
        <w:t xml:space="preserve"> com OCR surgiram entre 1950 e 19</w:t>
      </w:r>
      <w:r w:rsidR="00B409E8">
        <w:rPr>
          <w:sz w:val="32"/>
          <w:szCs w:val="32"/>
        </w:rPr>
        <w:t>7</w:t>
      </w:r>
      <w:r>
        <w:rPr>
          <w:sz w:val="32"/>
          <w:szCs w:val="32"/>
        </w:rPr>
        <w:t>0, quando investigadores começaram a explorar formas automáticas de converter caracteres impressos em texto digital</w:t>
      </w:r>
      <w:r w:rsidR="00B409E8">
        <w:rPr>
          <w:sz w:val="32"/>
          <w:szCs w:val="32"/>
        </w:rPr>
        <w:t xml:space="preserve">. Nessa época, apesar de estar numa fase inicial, provou-se que é possível uma </w:t>
      </w:r>
      <w:r w:rsidR="00423111">
        <w:rPr>
          <w:sz w:val="32"/>
          <w:szCs w:val="32"/>
        </w:rPr>
        <w:t>máquina</w:t>
      </w:r>
      <w:r w:rsidR="00B409E8">
        <w:rPr>
          <w:sz w:val="32"/>
          <w:szCs w:val="32"/>
        </w:rPr>
        <w:t xml:space="preserve"> “ler” documentos impressos, </w:t>
      </w:r>
      <w:r w:rsidR="00423111">
        <w:rPr>
          <w:sz w:val="32"/>
          <w:szCs w:val="32"/>
        </w:rPr>
        <w:t>digitalizá-los</w:t>
      </w:r>
      <w:r w:rsidR="00B409E8">
        <w:rPr>
          <w:sz w:val="32"/>
          <w:szCs w:val="32"/>
        </w:rPr>
        <w:t xml:space="preserve"> e transformá-los em informação que poderia ser interpretada por sistemas computacionais.</w:t>
      </w:r>
    </w:p>
    <w:p w14:paraId="2FAF5F0B" w14:textId="52A434A3" w:rsidR="00B409E8" w:rsidRDefault="00B409E8" w:rsidP="00A82C6D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Evolução dos leitores de ecrã</w:t>
      </w:r>
    </w:p>
    <w:p w14:paraId="698E6897" w14:textId="618BBBDC" w:rsidR="00B409E8" w:rsidRDefault="00B409E8" w:rsidP="00A82C6D">
      <w:pPr>
        <w:rPr>
          <w:sz w:val="32"/>
          <w:szCs w:val="32"/>
        </w:rPr>
      </w:pPr>
      <w:r>
        <w:rPr>
          <w:sz w:val="32"/>
          <w:szCs w:val="32"/>
        </w:rPr>
        <w:t xml:space="preserve">Durante as décadas de 1980 e 1990 emergiram os primeiros leitores de ecrã modernos, desenvolvidos para sistemas operativos como DOS, Windows e </w:t>
      </w:r>
      <w:proofErr w:type="spellStart"/>
      <w:r>
        <w:rPr>
          <w:sz w:val="32"/>
          <w:szCs w:val="32"/>
        </w:rPr>
        <w:t>macOS</w:t>
      </w:r>
      <w:proofErr w:type="spellEnd"/>
      <w:r>
        <w:rPr>
          <w:sz w:val="32"/>
          <w:szCs w:val="32"/>
        </w:rPr>
        <w:t>.</w:t>
      </w:r>
    </w:p>
    <w:p w14:paraId="0FDB6503" w14:textId="39C206D8" w:rsidR="00B409E8" w:rsidRDefault="00B409E8" w:rsidP="00A82C6D">
      <w:pPr>
        <w:rPr>
          <w:sz w:val="32"/>
          <w:szCs w:val="32"/>
        </w:rPr>
      </w:pPr>
      <w:r>
        <w:rPr>
          <w:sz w:val="32"/>
          <w:szCs w:val="32"/>
        </w:rPr>
        <w:t xml:space="preserve">Programas como o JAWS, NVDA e </w:t>
      </w:r>
      <w:proofErr w:type="spellStart"/>
      <w:r>
        <w:rPr>
          <w:sz w:val="32"/>
          <w:szCs w:val="32"/>
        </w:rPr>
        <w:t>VoiceOver</w:t>
      </w:r>
      <w:proofErr w:type="spellEnd"/>
      <w:r>
        <w:rPr>
          <w:sz w:val="32"/>
          <w:szCs w:val="32"/>
        </w:rPr>
        <w:t xml:space="preserve"> marcaram esta fase, permitindo a utilizadores cegos ou com baixa visão acedessem a computadores através de síntese de voz e navegação por teclado. Estes leitores eram capazes de interpretar menus, textos e elementos da interface.</w:t>
      </w:r>
    </w:p>
    <w:p w14:paraId="3EC96258" w14:textId="333F1BFE" w:rsidR="00B409E8" w:rsidRDefault="00B409E8" w:rsidP="00A82C6D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O salto tecnológico: inteligência artificial e </w:t>
      </w:r>
      <w:proofErr w:type="spellStart"/>
      <w:r>
        <w:rPr>
          <w:b/>
          <w:bCs/>
          <w:sz w:val="44"/>
          <w:szCs w:val="44"/>
        </w:rPr>
        <w:t>deep</w:t>
      </w:r>
      <w:proofErr w:type="spellEnd"/>
      <w:r>
        <w:rPr>
          <w:b/>
          <w:bCs/>
          <w:sz w:val="44"/>
          <w:szCs w:val="44"/>
        </w:rPr>
        <w:t xml:space="preserve"> </w:t>
      </w:r>
      <w:proofErr w:type="spellStart"/>
      <w:r>
        <w:rPr>
          <w:b/>
          <w:bCs/>
          <w:sz w:val="44"/>
          <w:szCs w:val="44"/>
        </w:rPr>
        <w:t>learning</w:t>
      </w:r>
      <w:proofErr w:type="spellEnd"/>
    </w:p>
    <w:p w14:paraId="59CD94FA" w14:textId="49DFEA61" w:rsidR="00B409E8" w:rsidRDefault="00B409E8" w:rsidP="00A82C6D">
      <w:pPr>
        <w:rPr>
          <w:sz w:val="32"/>
          <w:szCs w:val="32"/>
        </w:rPr>
      </w:pPr>
      <w:r>
        <w:rPr>
          <w:sz w:val="32"/>
          <w:szCs w:val="32"/>
        </w:rPr>
        <w:t xml:space="preserve">A maior </w:t>
      </w:r>
      <w:proofErr w:type="spellStart"/>
      <w:r>
        <w:rPr>
          <w:sz w:val="32"/>
          <w:szCs w:val="32"/>
        </w:rPr>
        <w:t>trasformaçãpo</w:t>
      </w:r>
      <w:proofErr w:type="spellEnd"/>
      <w:r>
        <w:rPr>
          <w:sz w:val="32"/>
          <w:szCs w:val="32"/>
        </w:rPr>
        <w:t xml:space="preserve"> ocorreu com o desenvolvimento de técnicas de inteligência artificial, sobretudo redes neurais profundas </w:t>
      </w:r>
      <w:proofErr w:type="gramStart"/>
      <w:r>
        <w:rPr>
          <w:sz w:val="32"/>
          <w:szCs w:val="32"/>
        </w:rPr>
        <w:t xml:space="preserve">( </w:t>
      </w:r>
      <w:proofErr w:type="spellStart"/>
      <w:r w:rsidRPr="00B409E8">
        <w:rPr>
          <w:color w:val="EE0000"/>
          <w:sz w:val="32"/>
          <w:szCs w:val="32"/>
        </w:rPr>
        <w:t>deep</w:t>
      </w:r>
      <w:proofErr w:type="spellEnd"/>
      <w:proofErr w:type="gramEnd"/>
      <w:r w:rsidRPr="00B409E8">
        <w:rPr>
          <w:color w:val="EE0000"/>
          <w:sz w:val="32"/>
          <w:szCs w:val="32"/>
        </w:rPr>
        <w:t xml:space="preserve"> </w:t>
      </w:r>
      <w:proofErr w:type="spellStart"/>
      <w:r w:rsidRPr="00B409E8">
        <w:rPr>
          <w:color w:val="EE0000"/>
          <w:sz w:val="32"/>
          <w:szCs w:val="32"/>
        </w:rPr>
        <w:t>learning</w:t>
      </w:r>
      <w:proofErr w:type="spellEnd"/>
      <w:r>
        <w:rPr>
          <w:sz w:val="32"/>
          <w:szCs w:val="32"/>
        </w:rPr>
        <w:t xml:space="preserve">).  Com a IA, foi possível ultrapassar limitações do OCR tradicional, melhorando o reconhecimento de textos complexos, fontes variadas, </w:t>
      </w:r>
      <w:r w:rsidR="00423111">
        <w:rPr>
          <w:sz w:val="32"/>
          <w:szCs w:val="32"/>
        </w:rPr>
        <w:t>documentos</w:t>
      </w:r>
      <w:r>
        <w:rPr>
          <w:sz w:val="32"/>
          <w:szCs w:val="32"/>
        </w:rPr>
        <w:t xml:space="preserve"> degradados e até manuscritos. Além disso, surgiram capacidades multimodais: sistemas capazes de interpretar imagens, </w:t>
      </w:r>
      <w:r w:rsidR="00423111">
        <w:rPr>
          <w:sz w:val="32"/>
          <w:szCs w:val="32"/>
        </w:rPr>
        <w:t>identificar</w:t>
      </w:r>
      <w:r>
        <w:rPr>
          <w:sz w:val="32"/>
          <w:szCs w:val="32"/>
        </w:rPr>
        <w:t xml:space="preserve"> objetos e compreender contexto visual.</w:t>
      </w:r>
    </w:p>
    <w:p w14:paraId="252C6B7A" w14:textId="5C3D066A" w:rsidR="00B409E8" w:rsidRDefault="00B409E8" w:rsidP="00A82C6D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Com estes avanços, a leitura de ecrã passou de uma função essencialmente </w:t>
      </w:r>
      <w:r w:rsidR="00423111">
        <w:rPr>
          <w:sz w:val="32"/>
          <w:szCs w:val="32"/>
        </w:rPr>
        <w:t>textual para uma ferramenta capaz de fazer uma análise visual completa. Sendo possível ler documentos inteiros, interpretar tabelas, gráficos, reconhecer texto em fotografias ou vídeos e transformar todos estes elementos em informação acessível de forma fluida.</w:t>
      </w:r>
    </w:p>
    <w:p w14:paraId="15BD842A" w14:textId="4956DC71" w:rsidR="00423111" w:rsidRPr="00423111" w:rsidRDefault="00423111" w:rsidP="00A82C6D">
      <w:pPr>
        <w:rPr>
          <w:b/>
          <w:bCs/>
          <w:sz w:val="44"/>
          <w:szCs w:val="44"/>
        </w:rPr>
      </w:pPr>
      <w:r w:rsidRPr="00423111">
        <w:rPr>
          <w:b/>
          <w:bCs/>
          <w:sz w:val="44"/>
          <w:szCs w:val="44"/>
        </w:rPr>
        <w:t>Aplicações modernas para acessibilidade</w:t>
      </w:r>
    </w:p>
    <w:p w14:paraId="7CC5C19E" w14:textId="77777777" w:rsidR="00423111" w:rsidRDefault="00423111" w:rsidP="00A82C6D">
      <w:pPr>
        <w:rPr>
          <w:sz w:val="32"/>
          <w:szCs w:val="32"/>
        </w:rPr>
      </w:pPr>
    </w:p>
    <w:p w14:paraId="64D4168D" w14:textId="7389ECE9" w:rsidR="00423111" w:rsidRDefault="00423111" w:rsidP="00A82C6D">
      <w:pPr>
        <w:rPr>
          <w:sz w:val="32"/>
          <w:szCs w:val="32"/>
        </w:rPr>
      </w:pPr>
      <w:r>
        <w:rPr>
          <w:sz w:val="32"/>
          <w:szCs w:val="32"/>
        </w:rPr>
        <w:t xml:space="preserve">A Combinação de OCR e IA tornou-se especialmente valiosa na área da acessibilidade. Dispositivos e aplicações como a </w:t>
      </w:r>
      <w:proofErr w:type="spellStart"/>
      <w:r>
        <w:rPr>
          <w:sz w:val="32"/>
          <w:szCs w:val="32"/>
        </w:rPr>
        <w:t>OrCam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Seeing</w:t>
      </w:r>
      <w:proofErr w:type="spellEnd"/>
      <w:r>
        <w:rPr>
          <w:sz w:val="32"/>
          <w:szCs w:val="32"/>
        </w:rPr>
        <w:t xml:space="preserve"> AI ou ampliadores digitais, utilizam tecnologias avançadas para reconhecer texto, identificar produtos, ler sinais, descrever ambientes e até detetar rostos. A integração entre leitura de ecrã e IA representa assim, um grande progresso tecnológico e mais importante ainda, um avanço significativo na construção de um mundo mais acessível.</w:t>
      </w:r>
    </w:p>
    <w:p w14:paraId="51BD54ED" w14:textId="77777777" w:rsidR="00423111" w:rsidRPr="00B409E8" w:rsidRDefault="00423111" w:rsidP="00A82C6D">
      <w:pPr>
        <w:rPr>
          <w:sz w:val="32"/>
          <w:szCs w:val="32"/>
        </w:rPr>
      </w:pPr>
    </w:p>
    <w:sectPr w:rsidR="00423111" w:rsidRPr="00B409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853"/>
    <w:rsid w:val="00094B88"/>
    <w:rsid w:val="000F02CE"/>
    <w:rsid w:val="00171853"/>
    <w:rsid w:val="001F58FC"/>
    <w:rsid w:val="00423111"/>
    <w:rsid w:val="00A51686"/>
    <w:rsid w:val="00A82C6D"/>
    <w:rsid w:val="00A84EA1"/>
    <w:rsid w:val="00B409E8"/>
    <w:rsid w:val="00D00FC3"/>
    <w:rsid w:val="00EB0151"/>
    <w:rsid w:val="00F75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88331"/>
  <w15:chartTrackingRefBased/>
  <w15:docId w15:val="{CFA308CA-2CC5-4760-A90B-9EBB040BB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71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71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718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71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718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71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71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71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71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718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718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718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7185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71853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718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7185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718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718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71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71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71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71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71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7185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7185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7185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718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71853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71853"/>
    <w:rPr>
      <w:b/>
      <w:bCs/>
      <w:smallCaps/>
      <w:color w:val="2F5496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A84EA1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A84E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pt.wikipedia.org/wiki/Reconhecimento_%C3%B3tico_de_caractere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useum.ipsj.or.jp/en/computer/ocr/history.html" TargetMode="External"/><Relationship Id="rId5" Type="http://schemas.openxmlformats.org/officeDocument/2006/relationships/hyperlink" Target="https://www.xtendsol.com/en/content/26205/the-evolution-of-ocr-to-intelligent-ai-xtends" TargetMode="External"/><Relationship Id="rId4" Type="http://schemas.openxmlformats.org/officeDocument/2006/relationships/hyperlink" Target="https://www.ibm.com/br-pt/think/topics/optical-character-recognitio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3</Pages>
  <Words>520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António Pereira Borges</dc:creator>
  <cp:keywords/>
  <dc:description/>
  <cp:lastModifiedBy>João António Pereira Borges</cp:lastModifiedBy>
  <cp:revision>4</cp:revision>
  <dcterms:created xsi:type="dcterms:W3CDTF">2025-11-22T20:28:00Z</dcterms:created>
  <dcterms:modified xsi:type="dcterms:W3CDTF">2025-11-22T23:16:00Z</dcterms:modified>
</cp:coreProperties>
</file>