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B42AA" w14:textId="77777777" w:rsidR="007016CA" w:rsidRDefault="007016CA">
      <w:pPr>
        <w:spacing w:before="1200"/>
      </w:pPr>
    </w:p>
    <w:p w14:paraId="503B42AB" w14:textId="77777777" w:rsidR="007016CA" w:rsidRDefault="00000000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ASMPT SMT GmbH &amp; Co. KG</w:t>
      </w:r>
    </w:p>
    <w:p w14:paraId="503B42AC" w14:textId="77777777" w:rsidR="007016CA" w:rsidRDefault="007016CA">
      <w:pPr>
        <w:pBdr>
          <w:bottom w:val="single" w:sz="8" w:space="1" w:color="2E75B6"/>
        </w:pBdr>
        <w:spacing w:before="80" w:after="120"/>
      </w:pPr>
    </w:p>
    <w:p w14:paraId="503B42AD" w14:textId="77777777" w:rsidR="007016CA" w:rsidRDefault="00000000">
      <w:pPr>
        <w:spacing w:after="80"/>
        <w:jc w:val="center"/>
      </w:pPr>
      <w:r>
        <w:rPr>
          <w:b/>
          <w:bCs/>
          <w:color w:val="404040"/>
          <w:sz w:val="28"/>
          <w:szCs w:val="28"/>
        </w:rPr>
        <w:t>Enterprise Architecture &amp; Cloud-Migration</w:t>
      </w:r>
    </w:p>
    <w:p w14:paraId="503B42AE" w14:textId="77777777" w:rsidR="007016CA" w:rsidRDefault="00000000">
      <w:pPr>
        <w:spacing w:after="80"/>
        <w:jc w:val="center"/>
      </w:pPr>
      <w:r>
        <w:rPr>
          <w:b/>
          <w:bCs/>
          <w:color w:val="1F497D"/>
          <w:sz w:val="32"/>
          <w:szCs w:val="32"/>
        </w:rPr>
        <w:t>Bewertungsmodelle für das Anwendungsportfolio</w:t>
      </w:r>
    </w:p>
    <w:p w14:paraId="503B42AF" w14:textId="77777777" w:rsidR="007016CA" w:rsidRDefault="00000000">
      <w:pPr>
        <w:spacing w:after="600"/>
        <w:jc w:val="center"/>
      </w:pPr>
      <w:r>
        <w:rPr>
          <w:i/>
          <w:iCs/>
          <w:color w:val="606060"/>
          <w:sz w:val="24"/>
          <w:szCs w:val="24"/>
        </w:rPr>
        <w:t>Schwerpunkt: Nutzbarkeit durch SCM-Mitarbeiter</w:t>
      </w:r>
    </w:p>
    <w:tbl>
      <w:tblPr>
        <w:tblStyle w:val="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00"/>
        <w:gridCol w:w="6526"/>
      </w:tblGrid>
      <w:tr w:rsidR="007016CA" w14:paraId="503B42B2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0" w14:textId="77777777" w:rsidR="007016CA" w:rsidRDefault="00000000">
            <w:r>
              <w:rPr>
                <w:sz w:val="20"/>
                <w:szCs w:val="20"/>
              </w:rPr>
              <w:t>Umfang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1" w14:textId="77777777" w:rsidR="007016CA" w:rsidRDefault="00000000">
            <w:r>
              <w:rPr>
                <w:sz w:val="20"/>
                <w:szCs w:val="20"/>
              </w:rPr>
              <w:t>137 Anwendungen | 4 Produktionsstandorte | 6 SCOR-Domänen</w:t>
            </w:r>
          </w:p>
        </w:tc>
      </w:tr>
      <w:tr w:rsidR="007016CA" w:rsidRPr="00015811" w14:paraId="503B42B5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3" w14:textId="77777777" w:rsidR="007016CA" w:rsidRDefault="00000000">
            <w:r>
              <w:rPr>
                <w:sz w:val="20"/>
                <w:szCs w:val="20"/>
              </w:rPr>
              <w:t>Rahmenwerk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4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>TOGAF (4 Layer) × SCOR (PLAN / SOURCE / MAKE / DELIVER / RETURN / ENABLE)</w:t>
            </w:r>
          </w:p>
        </w:tc>
      </w:tr>
      <w:tr w:rsidR="007016CA" w:rsidRPr="00015811" w14:paraId="503B42B8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6" w14:textId="77777777" w:rsidR="007016CA" w:rsidRDefault="00000000">
            <w:r>
              <w:rPr>
                <w:sz w:val="20"/>
                <w:szCs w:val="20"/>
              </w:rPr>
              <w:t>Standorte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7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 xml:space="preserve">München (Pilot), UK/Weymouth, </w:t>
            </w:r>
            <w:proofErr w:type="spellStart"/>
            <w:r w:rsidRPr="00015811">
              <w:rPr>
                <w:sz w:val="20"/>
                <w:szCs w:val="20"/>
                <w:lang w:val="en-US"/>
              </w:rPr>
              <w:t>Singapur</w:t>
            </w:r>
            <w:proofErr w:type="spellEnd"/>
            <w:r w:rsidRPr="00015811">
              <w:rPr>
                <w:sz w:val="20"/>
                <w:szCs w:val="20"/>
                <w:lang w:val="en-US"/>
              </w:rPr>
              <w:t>, Malaysia</w:t>
            </w:r>
          </w:p>
        </w:tc>
      </w:tr>
      <w:tr w:rsidR="007016CA" w14:paraId="503B42BB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9" w14:textId="77777777" w:rsidR="007016CA" w:rsidRDefault="00000000">
            <w:r>
              <w:rPr>
                <w:sz w:val="20"/>
                <w:szCs w:val="20"/>
              </w:rPr>
              <w:t>Zeitraum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A" w14:textId="77777777" w:rsidR="007016CA" w:rsidRDefault="00000000">
            <w:proofErr w:type="spellStart"/>
            <w:r>
              <w:rPr>
                <w:sz w:val="20"/>
                <w:szCs w:val="20"/>
              </w:rPr>
              <w:t>Migrationsroadmap</w:t>
            </w:r>
            <w:proofErr w:type="spellEnd"/>
            <w:r>
              <w:rPr>
                <w:sz w:val="20"/>
                <w:szCs w:val="20"/>
              </w:rPr>
              <w:t xml:space="preserve"> 2025 – 2030 (5 Phasen)</w:t>
            </w:r>
          </w:p>
        </w:tc>
      </w:tr>
      <w:tr w:rsidR="007016CA" w14:paraId="503B42BE" w14:textId="77777777"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C" w14:textId="77777777" w:rsidR="007016CA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BD" w14:textId="77777777" w:rsidR="007016CA" w:rsidRDefault="00000000">
            <w:r>
              <w:rPr>
                <w:sz w:val="20"/>
                <w:szCs w:val="20"/>
              </w:rPr>
              <w:t xml:space="preserve">April </w:t>
            </w:r>
            <w:proofErr w:type="gramStart"/>
            <w:r>
              <w:rPr>
                <w:sz w:val="20"/>
                <w:szCs w:val="20"/>
              </w:rPr>
              <w:t>2026  |</w:t>
            </w:r>
            <w:proofErr w:type="gramEnd"/>
            <w:r>
              <w:rPr>
                <w:sz w:val="20"/>
                <w:szCs w:val="20"/>
              </w:rPr>
              <w:t xml:space="preserve">  Vertraulich – Interne Nutzung</w:t>
            </w:r>
          </w:p>
        </w:tc>
      </w:tr>
    </w:tbl>
    <w:p w14:paraId="503B42BF" w14:textId="77777777" w:rsidR="007016CA" w:rsidRDefault="00000000">
      <w:r>
        <w:br w:type="page"/>
      </w:r>
    </w:p>
    <w:p w14:paraId="503B42C0" w14:textId="77777777" w:rsidR="007016CA" w:rsidRDefault="00000000">
      <w:pPr>
        <w:pStyle w:val="berschrift1"/>
      </w:pPr>
      <w:r>
        <w:lastRenderedPageBreak/>
        <w:t>1. Einleitung und Kontext</w:t>
      </w:r>
    </w:p>
    <w:p w14:paraId="503B42C1" w14:textId="77777777" w:rsidR="007016CA" w:rsidRDefault="00000000">
      <w:pPr>
        <w:spacing w:before="60" w:after="80"/>
        <w:jc w:val="both"/>
      </w:pPr>
      <w:r>
        <w:t>Die vorliegende Analyse identifiziert und bewertet die wichtigsten Modelle zur Evaluation von Unternehmensanwendungen im Rahmen der Cloud-Migrationsstrategie der ASMPT SMT GmbH &amp; Co. KG. Im Mittelpunkt steht die Frage, welche dieser Modelle von SCM-Mitarbeitern (Supply Chain Management) direkt und ohne vertiefte Enterprise-Architecture-Kenntnisse genutzt werden können.</w:t>
      </w:r>
    </w:p>
    <w:p w14:paraId="503B42C2" w14:textId="77777777" w:rsidR="007016CA" w:rsidRDefault="00000000">
      <w:pPr>
        <w:spacing w:before="60" w:after="80"/>
        <w:jc w:val="both"/>
      </w:pPr>
      <w:r>
        <w:t>Die Bewertung basiert auf einem Anwendungskatalog von 137 Applikationen, der fünf zentralen Befunden:</w:t>
      </w:r>
    </w:p>
    <w:p w14:paraId="503B42C3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87 On-</w:t>
      </w:r>
      <w:proofErr w:type="spellStart"/>
      <w:r>
        <w:rPr>
          <w:color w:val="000000"/>
        </w:rPr>
        <w:t>premise</w:t>
      </w:r>
      <w:proofErr w:type="spellEnd"/>
      <w:r>
        <w:rPr>
          <w:color w:val="000000"/>
        </w:rPr>
        <w:t>-Anwendungen (63,5 %), 30 Cloud, 4 Hybrid, 16 unbekannt</w:t>
      </w:r>
    </w:p>
    <w:p w14:paraId="503B42C4" w14:textId="77777777" w:rsidR="007016CA" w:rsidRPr="000158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  <w:rPr>
          <w:lang w:val="en-US"/>
        </w:rPr>
      </w:pPr>
      <w:r w:rsidRPr="00015811">
        <w:rPr>
          <w:color w:val="000000"/>
          <w:lang w:val="en-US"/>
        </w:rPr>
        <w:t xml:space="preserve">Roadmap: 92 Sustain, 17 Replace (alle </w:t>
      </w:r>
      <w:proofErr w:type="gramStart"/>
      <w:r w:rsidRPr="00015811">
        <w:rPr>
          <w:color w:val="000000"/>
          <w:lang w:val="en-US"/>
        </w:rPr>
        <w:t>On-premise</w:t>
      </w:r>
      <w:proofErr w:type="gramEnd"/>
      <w:r w:rsidRPr="00015811">
        <w:rPr>
          <w:color w:val="000000"/>
          <w:lang w:val="en-US"/>
        </w:rPr>
        <w:t>), 11 Growth, 9 Introduction, 6 Discontinue</w:t>
      </w:r>
    </w:p>
    <w:p w14:paraId="503B42C5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Strukturelle Divergenz am Standort UK: mehr als 12 kritische Werkzeuge weichen von den anderen Standorten ab</w:t>
      </w:r>
    </w:p>
    <w:p w14:paraId="503B42C6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SAP ERP, MES/Uptime und Q-Database als dominierende On-</w:t>
      </w:r>
      <w:proofErr w:type="spellStart"/>
      <w:r>
        <w:rPr>
          <w:color w:val="000000"/>
        </w:rPr>
        <w:t>premise</w:t>
      </w:r>
      <w:proofErr w:type="spellEnd"/>
      <w:r>
        <w:rPr>
          <w:color w:val="000000"/>
        </w:rPr>
        <w:t>-Kernsysteme</w:t>
      </w:r>
    </w:p>
    <w:p w14:paraId="503B42C7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Über 20 proprietäre Eigenentwicklungen auf der veralteten HCL-Domino-Plattform</w:t>
      </w:r>
    </w:p>
    <w:p w14:paraId="503B42C8" w14:textId="77777777" w:rsidR="007016CA" w:rsidRDefault="00000000">
      <w:pPr>
        <w:spacing w:before="60" w:after="80"/>
        <w:jc w:val="both"/>
      </w:pPr>
      <w:r>
        <w:t>Die Bewertungsmodelle werden in vier Kategorien gegliedert: Portfoliorationalisierung, Wert- und Risikoanalyse, Cloud-Migration sowie SCM-Reifegradmodelle. Für jedes Modell werden die Bewertungsachsen, das operative Vorgehen, die Eignung für SCM-Mitarbeiter und der Anwendungskontext für ASMPT beschrieben.</w:t>
      </w:r>
    </w:p>
    <w:p w14:paraId="503B42C9" w14:textId="77777777" w:rsidR="007016CA" w:rsidRDefault="00000000">
      <w:r>
        <w:br w:type="page"/>
      </w:r>
    </w:p>
    <w:p w14:paraId="503B42CA" w14:textId="77777777" w:rsidR="007016CA" w:rsidRDefault="00000000">
      <w:pPr>
        <w:pStyle w:val="berschrift1"/>
      </w:pPr>
      <w:r>
        <w:lastRenderedPageBreak/>
        <w:t>2. Kategorie 1: Portfoliorationalisierungsmodelle</w:t>
      </w:r>
    </w:p>
    <w:p w14:paraId="503B42CB" w14:textId="77777777" w:rsidR="007016CA" w:rsidRDefault="00000000">
      <w:pPr>
        <w:spacing w:before="60" w:after="80"/>
        <w:jc w:val="both"/>
      </w:pPr>
      <w:r>
        <w:t xml:space="preserve">Modelle dieser Kategorie helfen dabei, zu entscheiden, welche Anwendungen gehalten, investiert, migriert oder eliminiert werden sollen. Sie bilden die strategische Grundlage der </w:t>
      </w:r>
      <w:proofErr w:type="spellStart"/>
      <w:r>
        <w:t>Transformationsroadmap</w:t>
      </w:r>
      <w:proofErr w:type="spellEnd"/>
      <w:r>
        <w:t>.</w:t>
      </w:r>
    </w:p>
    <w:p w14:paraId="503B42CC" w14:textId="77777777" w:rsidR="007016CA" w:rsidRDefault="00000000">
      <w:pPr>
        <w:pStyle w:val="berschrift2"/>
      </w:pPr>
      <w:r>
        <w:t>2.1 Gartner TIME-Modell</w:t>
      </w:r>
    </w:p>
    <w:p w14:paraId="503B42CD" w14:textId="77777777" w:rsidR="007016CA" w:rsidRDefault="00000000">
      <w:pPr>
        <w:pBdr>
          <w:top w:val="single" w:sz="4" w:space="0" w:color="185FA5"/>
          <w:left w:val="single" w:sz="4" w:space="0" w:color="185FA5"/>
          <w:bottom w:val="single" w:sz="4" w:space="0" w:color="185FA5"/>
          <w:right w:val="single" w:sz="4" w:space="0" w:color="185FA5"/>
        </w:pBdr>
        <w:shd w:val="clear" w:color="auto" w:fill="185FA5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</w:t>
      </w:r>
      <w:proofErr w:type="gramStart"/>
      <w:r>
        <w:rPr>
          <w:b/>
          <w:bCs/>
          <w:color w:val="FFFFFF"/>
          <w:sz w:val="20"/>
          <w:szCs w:val="20"/>
        </w:rPr>
        <w:t>Mittel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</w:t>
      </w:r>
      <w:proofErr w:type="gramStart"/>
      <w:r>
        <w:rPr>
          <w:b/>
          <w:bCs/>
          <w:color w:val="FFFFFF"/>
          <w:sz w:val="20"/>
          <w:szCs w:val="20"/>
        </w:rPr>
        <w:t>Mittel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Hoch</w:t>
      </w:r>
    </w:p>
    <w:p w14:paraId="503B42CE" w14:textId="77777777" w:rsidR="007016CA" w:rsidRDefault="007016CA">
      <w:pPr>
        <w:spacing w:before="60" w:after="80"/>
        <w:jc w:val="both"/>
      </w:pPr>
    </w:p>
    <w:p w14:paraId="503B42CF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2D0" w14:textId="77777777" w:rsidR="007016CA" w:rsidRDefault="00000000">
      <w:pPr>
        <w:spacing w:before="60" w:after="80"/>
        <w:jc w:val="both"/>
      </w:pPr>
      <w:r>
        <w:t>Das TIME-Modell (</w:t>
      </w:r>
      <w:proofErr w:type="spellStart"/>
      <w:r>
        <w:t>Tolerate</w:t>
      </w:r>
      <w:proofErr w:type="spellEnd"/>
      <w:r>
        <w:t xml:space="preserve"> – </w:t>
      </w:r>
      <w:proofErr w:type="spellStart"/>
      <w:r>
        <w:t>Invest</w:t>
      </w:r>
      <w:proofErr w:type="spellEnd"/>
      <w:r>
        <w:t xml:space="preserve"> – </w:t>
      </w:r>
      <w:proofErr w:type="spellStart"/>
      <w:r>
        <w:t>Migrate</w:t>
      </w:r>
      <w:proofErr w:type="spellEnd"/>
      <w:r>
        <w:t xml:space="preserve"> – </w:t>
      </w:r>
      <w:proofErr w:type="spellStart"/>
      <w:r>
        <w:t>Eliminate</w:t>
      </w:r>
      <w:proofErr w:type="spellEnd"/>
      <w:r>
        <w:t xml:space="preserve">) ist der Industriestandard für Anwendungsrationalisierung. Es klassifiziert jede Anwendung in einem von vier Quadranten auf Basis von zwei Achsen: der funktionalen Eignung (wie gut unterstützt die Anwendung die Geschäftsprozesse?) und der technischen Eignung (Wartbarkeit, Integration, Modernität). Das Modell wird von führenden EA-Werkzeugen wie SAP </w:t>
      </w:r>
      <w:proofErr w:type="spellStart"/>
      <w:r>
        <w:t>LeanIX</w:t>
      </w:r>
      <w:proofErr w:type="spellEnd"/>
      <w:r>
        <w:t xml:space="preserve">, </w:t>
      </w:r>
      <w:proofErr w:type="spellStart"/>
      <w:r>
        <w:t>Ardoq</w:t>
      </w:r>
      <w:proofErr w:type="spellEnd"/>
      <w:r>
        <w:t xml:space="preserve"> und MEGA HOPEX nativ unterstützt.</w:t>
      </w:r>
    </w:p>
    <w:p w14:paraId="503B42D1" w14:textId="77777777" w:rsidR="007016CA" w:rsidRDefault="00000000">
      <w:pPr>
        <w:pStyle w:val="berschrift3"/>
      </w:pPr>
      <w:r>
        <w:rPr>
          <w:color w:val="1F497D"/>
        </w:rPr>
        <w:t>Bewertungsachsen</w:t>
      </w:r>
    </w:p>
    <w:tbl>
      <w:tblPr>
        <w:tblStyle w:val="a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4000"/>
        <w:gridCol w:w="2426"/>
      </w:tblGrid>
      <w:tr w:rsidR="007016CA" w14:paraId="503B42D5" w14:textId="77777777">
        <w:trPr>
          <w:tblHeader/>
        </w:trPr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2D2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Achse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2D3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2D4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Bewertungsskala</w:t>
            </w:r>
          </w:p>
        </w:tc>
      </w:tr>
      <w:tr w:rsidR="007016CA" w14:paraId="503B42D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D6" w14:textId="77777777" w:rsidR="007016CA" w:rsidRDefault="00000000">
            <w:r>
              <w:rPr>
                <w:sz w:val="20"/>
                <w:szCs w:val="20"/>
              </w:rPr>
              <w:t>Funktionale Eignung (X)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D7" w14:textId="77777777" w:rsidR="007016CA" w:rsidRDefault="00000000">
            <w:r>
              <w:rPr>
                <w:sz w:val="20"/>
                <w:szCs w:val="20"/>
              </w:rPr>
              <w:t>Unterstützt die Anwendung den relevanten SCOR-Prozess adäquat?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D8" w14:textId="77777777" w:rsidR="007016CA" w:rsidRDefault="00000000">
            <w:r>
              <w:rPr>
                <w:sz w:val="20"/>
                <w:szCs w:val="20"/>
              </w:rPr>
              <w:t>1 (unzureichend) – 5 (optimal)</w:t>
            </w:r>
          </w:p>
        </w:tc>
      </w:tr>
      <w:tr w:rsidR="007016CA" w14:paraId="503B42DD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DA" w14:textId="77777777" w:rsidR="007016CA" w:rsidRDefault="00000000">
            <w:r>
              <w:rPr>
                <w:sz w:val="20"/>
                <w:szCs w:val="20"/>
              </w:rPr>
              <w:t>Technische Eignung (Y)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DB" w14:textId="77777777" w:rsidR="007016CA" w:rsidRDefault="00000000">
            <w:r>
              <w:rPr>
                <w:sz w:val="20"/>
                <w:szCs w:val="20"/>
              </w:rPr>
              <w:t>Integrierbarkeit, Wartbarkeit, Obsoleszenz, Kompatibilität</w:t>
            </w:r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DC" w14:textId="77777777" w:rsidR="007016CA" w:rsidRDefault="00000000">
            <w:r>
              <w:rPr>
                <w:sz w:val="20"/>
                <w:szCs w:val="20"/>
              </w:rPr>
              <w:t>1 (veraltet/kritisch) – 5 (modern/robust)</w:t>
            </w:r>
          </w:p>
        </w:tc>
      </w:tr>
      <w:tr w:rsidR="007016CA" w14:paraId="503B42E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DE" w14:textId="77777777" w:rsidR="007016CA" w:rsidRDefault="00000000">
            <w:r>
              <w:rPr>
                <w:sz w:val="20"/>
                <w:szCs w:val="20"/>
              </w:rPr>
              <w:t>Quadrant TIME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DF" w14:textId="77777777" w:rsidR="007016CA" w:rsidRDefault="00000000">
            <w:proofErr w:type="spellStart"/>
            <w:r>
              <w:rPr>
                <w:sz w:val="20"/>
                <w:szCs w:val="20"/>
              </w:rPr>
              <w:t>Tolerate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Invest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Migrate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Eliminate</w:t>
            </w:r>
            <w:proofErr w:type="spellEnd"/>
          </w:p>
        </w:tc>
        <w:tc>
          <w:tcPr>
            <w:tcW w:w="2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E0" w14:textId="77777777" w:rsidR="007016CA" w:rsidRDefault="00000000">
            <w:r>
              <w:rPr>
                <w:sz w:val="20"/>
                <w:szCs w:val="20"/>
              </w:rPr>
              <w:t>Matrix-Positionierung</w:t>
            </w:r>
          </w:p>
        </w:tc>
      </w:tr>
    </w:tbl>
    <w:p w14:paraId="503B42E2" w14:textId="77777777" w:rsidR="007016CA" w:rsidRDefault="007016CA">
      <w:pPr>
        <w:spacing w:before="60" w:after="80"/>
        <w:jc w:val="both"/>
      </w:pPr>
    </w:p>
    <w:p w14:paraId="503B42E3" w14:textId="77777777" w:rsidR="007016CA" w:rsidRDefault="00000000">
      <w:pPr>
        <w:pStyle w:val="berschrift3"/>
      </w:pPr>
      <w:proofErr w:type="spellStart"/>
      <w:r>
        <w:rPr>
          <w:color w:val="1F497D"/>
        </w:rPr>
        <w:t>Quadrantendefinitionen</w:t>
      </w:r>
      <w:proofErr w:type="spellEnd"/>
    </w:p>
    <w:tbl>
      <w:tblPr>
        <w:tblStyle w:val="a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7016CA" w14:paraId="503B42E8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2E4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Quadrant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2E5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Technische Eignung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2E6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Funktionale Eignung</w:t>
            </w:r>
          </w:p>
        </w:tc>
        <w:tc>
          <w:tcPr>
            <w:tcW w:w="3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2E7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Empfohlene Maßnahme</w:t>
            </w:r>
          </w:p>
        </w:tc>
      </w:tr>
      <w:tr w:rsidR="007016CA" w14:paraId="503B42ED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E9" w14:textId="77777777" w:rsidR="007016CA" w:rsidRDefault="00000000">
            <w:proofErr w:type="spellStart"/>
            <w:r>
              <w:rPr>
                <w:sz w:val="20"/>
                <w:szCs w:val="20"/>
              </w:rPr>
              <w:t>Invest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EA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EB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EC" w14:textId="77777777" w:rsidR="007016CA" w:rsidRDefault="00000000">
            <w:r>
              <w:rPr>
                <w:sz w:val="20"/>
                <w:szCs w:val="20"/>
              </w:rPr>
              <w:t>Maximalen Nutzen ausschöpfen, Investitionen priorisieren</w:t>
            </w:r>
          </w:p>
        </w:tc>
      </w:tr>
      <w:tr w:rsidR="007016CA" w14:paraId="503B42F2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EE" w14:textId="77777777" w:rsidR="007016CA" w:rsidRDefault="00000000">
            <w:proofErr w:type="spellStart"/>
            <w:r>
              <w:rPr>
                <w:sz w:val="20"/>
                <w:szCs w:val="20"/>
              </w:rPr>
              <w:t>Tolerate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EF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0" w14:textId="77777777" w:rsidR="007016CA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1" w14:textId="77777777" w:rsidR="007016CA" w:rsidRDefault="00000000">
            <w:r>
              <w:rPr>
                <w:sz w:val="20"/>
                <w:szCs w:val="20"/>
              </w:rPr>
              <w:t>Beibehalten, aber kein weiteres Investment</w:t>
            </w:r>
          </w:p>
        </w:tc>
      </w:tr>
      <w:tr w:rsidR="007016CA" w14:paraId="503B42F7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3" w14:textId="77777777" w:rsidR="007016CA" w:rsidRDefault="00000000">
            <w:proofErr w:type="spellStart"/>
            <w:r>
              <w:rPr>
                <w:sz w:val="20"/>
                <w:szCs w:val="20"/>
              </w:rPr>
              <w:t>Migrate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4" w14:textId="77777777" w:rsidR="007016CA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5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6" w14:textId="77777777" w:rsidR="007016CA" w:rsidRDefault="00000000">
            <w:r>
              <w:rPr>
                <w:sz w:val="20"/>
                <w:szCs w:val="20"/>
              </w:rPr>
              <w:t>Bessere Alternative suchen und migrieren</w:t>
            </w:r>
          </w:p>
        </w:tc>
      </w:tr>
      <w:tr w:rsidR="007016CA" w14:paraId="503B42FC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8" w14:textId="77777777" w:rsidR="007016CA" w:rsidRDefault="00000000">
            <w:proofErr w:type="spellStart"/>
            <w:r>
              <w:rPr>
                <w:sz w:val="20"/>
                <w:szCs w:val="20"/>
              </w:rPr>
              <w:t>Eliminate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9" w14:textId="77777777" w:rsidR="007016CA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A" w14:textId="77777777" w:rsidR="007016CA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2FB" w14:textId="77777777" w:rsidR="007016CA" w:rsidRDefault="00000000">
            <w:r>
              <w:rPr>
                <w:sz w:val="20"/>
                <w:szCs w:val="20"/>
              </w:rPr>
              <w:t>Abschalten, Ressourcen umleiten</w:t>
            </w:r>
          </w:p>
        </w:tc>
      </w:tr>
    </w:tbl>
    <w:p w14:paraId="503B42FD" w14:textId="77777777" w:rsidR="007016CA" w:rsidRDefault="007016CA">
      <w:pPr>
        <w:spacing w:before="60" w:after="80"/>
        <w:jc w:val="both"/>
      </w:pPr>
    </w:p>
    <w:p w14:paraId="503B42FE" w14:textId="77777777" w:rsidR="007016CA" w:rsidRDefault="00000000">
      <w:pPr>
        <w:pStyle w:val="berschrift3"/>
      </w:pPr>
      <w:r>
        <w:rPr>
          <w:color w:val="1F497D"/>
        </w:rPr>
        <w:t>Operatives Vorgehen (5 Schritte)</w:t>
      </w:r>
    </w:p>
    <w:p w14:paraId="503B42FF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Alle SCM-Anwendungen der relevanten SCOR-Domäne inventarisieren</w:t>
      </w:r>
    </w:p>
    <w:p w14:paraId="503B4300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Funktionale Eignung (1–5) durch SCM-Prozessverantwortliche bewerten lassen</w:t>
      </w:r>
    </w:p>
    <w:p w14:paraId="503B4301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Technische Eignung (1–5) durch IT-Architekten oder Systemverantwortliche bewerten lassen</w:t>
      </w:r>
    </w:p>
    <w:p w14:paraId="503B4302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Jede Anwendung in der TIME-Matrix positionieren</w:t>
      </w:r>
    </w:p>
    <w:p w14:paraId="503B4303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Maßnahmenplan je Quadrant definieren: Sustain / </w:t>
      </w:r>
      <w:proofErr w:type="spellStart"/>
      <w:r>
        <w:rPr>
          <w:color w:val="000000"/>
        </w:rPr>
        <w:t>Replace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Invest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Discontinue</w:t>
      </w:r>
      <w:proofErr w:type="spellEnd"/>
    </w:p>
    <w:p w14:paraId="503B4304" w14:textId="77777777" w:rsidR="007016CA" w:rsidRDefault="007016CA">
      <w:pPr>
        <w:spacing w:before="60" w:after="80"/>
        <w:jc w:val="both"/>
      </w:pPr>
    </w:p>
    <w:tbl>
      <w:tblPr>
        <w:tblStyle w:val="a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307" w14:textId="77777777">
        <w:tc>
          <w:tcPr>
            <w:tcW w:w="9026" w:type="dxa"/>
            <w:tcBorders>
              <w:top w:val="single" w:sz="4" w:space="0" w:color="185FA5"/>
              <w:left w:val="single" w:sz="12" w:space="0" w:color="185FA5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305" w14:textId="77777777" w:rsidR="007016C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Anwendungskontext ASMPT:</w:t>
            </w:r>
          </w:p>
          <w:p w14:paraId="503B4306" w14:textId="77777777" w:rsidR="007016CA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Das TIME-Modell wurde bereits in der Bestandsanalyse angewendet (92 Sustain, 17 </w:t>
            </w:r>
            <w:proofErr w:type="spellStart"/>
            <w:r>
              <w:rPr>
                <w:sz w:val="20"/>
                <w:szCs w:val="20"/>
              </w:rPr>
              <w:t>Replace</w:t>
            </w:r>
            <w:proofErr w:type="spellEnd"/>
            <w:r>
              <w:rPr>
                <w:sz w:val="20"/>
                <w:szCs w:val="20"/>
              </w:rPr>
              <w:t xml:space="preserve">, 6 </w:t>
            </w:r>
            <w:proofErr w:type="spellStart"/>
            <w:r>
              <w:rPr>
                <w:sz w:val="20"/>
                <w:szCs w:val="20"/>
              </w:rPr>
              <w:t>Discontinue</w:t>
            </w:r>
            <w:proofErr w:type="spellEnd"/>
            <w:r>
              <w:rPr>
                <w:sz w:val="20"/>
                <w:szCs w:val="20"/>
              </w:rPr>
              <w:t>). Die logische Erweiterung besteht darin, die funktionale Eignung von SCM-Mitarbeitern selbst bewerten zu lassen – standort- und domänenspezifisch. Besonders relevant: die 17 als '</w:t>
            </w:r>
            <w:proofErr w:type="spellStart"/>
            <w:r>
              <w:rPr>
                <w:sz w:val="20"/>
                <w:szCs w:val="20"/>
              </w:rPr>
              <w:t>Replace</w:t>
            </w:r>
            <w:proofErr w:type="spellEnd"/>
            <w:r>
              <w:rPr>
                <w:sz w:val="20"/>
                <w:szCs w:val="20"/>
              </w:rPr>
              <w:t>' klassifizierten Anwendungen, die ausschließlich 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 xml:space="preserve"> betrieben werden.</w:t>
            </w:r>
          </w:p>
        </w:tc>
      </w:tr>
    </w:tbl>
    <w:p w14:paraId="503B4308" w14:textId="77777777" w:rsidR="007016CA" w:rsidRDefault="007016CA">
      <w:pPr>
        <w:spacing w:before="60" w:after="80"/>
        <w:jc w:val="both"/>
      </w:pPr>
    </w:p>
    <w:p w14:paraId="503B4309" w14:textId="77777777" w:rsidR="007016CA" w:rsidRPr="00015811" w:rsidRDefault="00000000">
      <w:pPr>
        <w:pStyle w:val="berschrift2"/>
        <w:rPr>
          <w:lang w:val="en-US"/>
        </w:rPr>
      </w:pPr>
      <w:r w:rsidRPr="00015811">
        <w:rPr>
          <w:lang w:val="en-US"/>
        </w:rPr>
        <w:t>2.2 PACE Layered Application Strategy (Gartner)</w:t>
      </w:r>
    </w:p>
    <w:p w14:paraId="503B430A" w14:textId="77777777" w:rsidR="007016CA" w:rsidRDefault="00000000">
      <w:pPr>
        <w:pBdr>
          <w:top w:val="single" w:sz="4" w:space="0" w:color="185FA5"/>
          <w:left w:val="single" w:sz="4" w:space="0" w:color="185FA5"/>
          <w:bottom w:val="single" w:sz="4" w:space="0" w:color="185FA5"/>
          <w:right w:val="single" w:sz="4" w:space="0" w:color="185FA5"/>
        </w:pBdr>
        <w:shd w:val="clear" w:color="auto" w:fill="185FA5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Sehr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</w:t>
      </w:r>
      <w:proofErr w:type="gramStart"/>
      <w:r>
        <w:rPr>
          <w:b/>
          <w:bCs/>
          <w:color w:val="FFFFFF"/>
          <w:sz w:val="20"/>
          <w:szCs w:val="20"/>
        </w:rPr>
        <w:t>Mittel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Sehr hoch</w:t>
      </w:r>
    </w:p>
    <w:p w14:paraId="503B430B" w14:textId="77777777" w:rsidR="007016CA" w:rsidRDefault="007016CA">
      <w:pPr>
        <w:spacing w:before="60" w:after="80"/>
        <w:jc w:val="both"/>
      </w:pPr>
    </w:p>
    <w:p w14:paraId="503B430C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30D" w14:textId="77777777" w:rsidR="007016CA" w:rsidRDefault="00000000">
      <w:pPr>
        <w:spacing w:before="60" w:after="80"/>
        <w:jc w:val="both"/>
      </w:pPr>
      <w:r>
        <w:t xml:space="preserve">Das PACE </w:t>
      </w:r>
      <w:proofErr w:type="spellStart"/>
      <w:r>
        <w:t>Layered</w:t>
      </w:r>
      <w:proofErr w:type="spellEnd"/>
      <w:r>
        <w:t xml:space="preserve"> Model segmentiert Anwendungen nach ihrem Veränderungsrhythmus und ihrer strategischen Rolle in drei Schichten. Es ist das zugänglichste Modell für nicht-IT-Mitarbeiter, da die Klassifikationslogik intuitiv verständlich ist. Die </w:t>
      </w:r>
      <w:proofErr w:type="spellStart"/>
      <w:r>
        <w:t>Governance</w:t>
      </w:r>
      <w:proofErr w:type="spellEnd"/>
      <w:r>
        <w:t xml:space="preserve">-Modalitäten werden je Schicht differenziert: Waterfall für Systems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, Agile für Systems </w:t>
      </w:r>
      <w:proofErr w:type="spellStart"/>
      <w:r>
        <w:t>of</w:t>
      </w:r>
      <w:proofErr w:type="spellEnd"/>
      <w:r>
        <w:t xml:space="preserve"> Differentiation, Lean/Experimental für Systems </w:t>
      </w:r>
      <w:proofErr w:type="spellStart"/>
      <w:r>
        <w:t>of</w:t>
      </w:r>
      <w:proofErr w:type="spellEnd"/>
      <w:r>
        <w:t xml:space="preserve"> Innovation.</w:t>
      </w:r>
    </w:p>
    <w:p w14:paraId="503B430E" w14:textId="77777777" w:rsidR="007016CA" w:rsidRDefault="00000000">
      <w:pPr>
        <w:pStyle w:val="berschrift3"/>
      </w:pPr>
      <w:r>
        <w:rPr>
          <w:color w:val="1F497D"/>
        </w:rPr>
        <w:t>Die drei Schichten</w:t>
      </w:r>
    </w:p>
    <w:tbl>
      <w:tblPr>
        <w:tblStyle w:val="a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2400"/>
        <w:gridCol w:w="1026"/>
      </w:tblGrid>
      <w:tr w:rsidR="007016CA" w14:paraId="503B4314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0F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Schicht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10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Deutsch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11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Veränderungsrhythmus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12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Beispiele ASMPT</w:t>
            </w:r>
          </w:p>
        </w:tc>
        <w:tc>
          <w:tcPr>
            <w:tcW w:w="1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13" w14:textId="77777777" w:rsidR="007016C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Governance</w:t>
            </w:r>
            <w:proofErr w:type="spellEnd"/>
          </w:p>
        </w:tc>
      </w:tr>
      <w:tr w:rsidR="007016CA" w14:paraId="503B431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5" w14:textId="77777777" w:rsidR="007016CA" w:rsidRDefault="00000000">
            <w:r>
              <w:rPr>
                <w:sz w:val="20"/>
                <w:szCs w:val="20"/>
              </w:rPr>
              <w:t xml:space="preserve">System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Record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6" w14:textId="77777777" w:rsidR="007016CA" w:rsidRDefault="00000000">
            <w:r>
              <w:rPr>
                <w:sz w:val="20"/>
                <w:szCs w:val="20"/>
              </w:rPr>
              <w:t>Kernsystem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7" w14:textId="77777777" w:rsidR="007016CA" w:rsidRDefault="00000000">
            <w:r>
              <w:rPr>
                <w:sz w:val="20"/>
                <w:szCs w:val="20"/>
              </w:rPr>
              <w:t>Langfristig (&gt;5 Jahre)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8" w14:textId="77777777" w:rsidR="007016CA" w:rsidRDefault="00000000">
            <w:r>
              <w:rPr>
                <w:sz w:val="20"/>
                <w:szCs w:val="20"/>
              </w:rPr>
              <w:t>SAP ERP, MES/Uptime, Q-Datenbank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9" w14:textId="77777777" w:rsidR="007016CA" w:rsidRDefault="00000000">
            <w:r>
              <w:rPr>
                <w:sz w:val="20"/>
                <w:szCs w:val="20"/>
              </w:rPr>
              <w:t>Zentral / Waterfall</w:t>
            </w:r>
          </w:p>
        </w:tc>
      </w:tr>
      <w:tr w:rsidR="007016CA" w14:paraId="503B4320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B" w14:textId="77777777" w:rsidR="007016CA" w:rsidRDefault="00000000">
            <w:r>
              <w:rPr>
                <w:sz w:val="20"/>
                <w:szCs w:val="20"/>
              </w:rPr>
              <w:t xml:space="preserve">System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Differentiation (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C" w14:textId="77777777" w:rsidR="007016CA" w:rsidRDefault="00000000">
            <w:r>
              <w:rPr>
                <w:sz w:val="20"/>
                <w:szCs w:val="20"/>
              </w:rPr>
              <w:t>Differenzierungssystem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D" w14:textId="77777777" w:rsidR="007016CA" w:rsidRDefault="00000000">
            <w:r>
              <w:rPr>
                <w:sz w:val="20"/>
                <w:szCs w:val="20"/>
              </w:rPr>
              <w:t>Mittelfristig (1–3 Jahre)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E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>SAP IBP, Jaggaer, Teamcenter, SAP Analytics Cloud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1F" w14:textId="77777777" w:rsidR="007016CA" w:rsidRDefault="00000000">
            <w:r>
              <w:rPr>
                <w:sz w:val="20"/>
                <w:szCs w:val="20"/>
              </w:rPr>
              <w:t>Business-IT / Agile</w:t>
            </w:r>
          </w:p>
        </w:tc>
      </w:tr>
      <w:tr w:rsidR="007016CA" w14:paraId="503B4326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21" w14:textId="77777777" w:rsidR="007016CA" w:rsidRDefault="00000000">
            <w:r>
              <w:rPr>
                <w:sz w:val="20"/>
                <w:szCs w:val="20"/>
              </w:rPr>
              <w:t xml:space="preserve">System </w:t>
            </w:r>
            <w:proofErr w:type="spellStart"/>
            <w:r>
              <w:rPr>
                <w:sz w:val="20"/>
                <w:szCs w:val="20"/>
              </w:rPr>
              <w:t>of</w:t>
            </w:r>
            <w:proofErr w:type="spellEnd"/>
            <w:r>
              <w:rPr>
                <w:sz w:val="20"/>
                <w:szCs w:val="20"/>
              </w:rPr>
              <w:t xml:space="preserve"> Innovation (</w:t>
            </w:r>
            <w:proofErr w:type="spellStart"/>
            <w:r>
              <w:rPr>
                <w:sz w:val="20"/>
                <w:szCs w:val="20"/>
              </w:rPr>
              <w:t>SoI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22" w14:textId="77777777" w:rsidR="007016CA" w:rsidRDefault="00000000">
            <w:r>
              <w:rPr>
                <w:sz w:val="20"/>
                <w:szCs w:val="20"/>
              </w:rPr>
              <w:t>Innovationssystem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23" w14:textId="77777777" w:rsidR="007016CA" w:rsidRDefault="00000000">
            <w:r>
              <w:rPr>
                <w:sz w:val="20"/>
                <w:szCs w:val="20"/>
              </w:rPr>
              <w:t>Kurzfristig (&lt;1 Jahr)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24" w14:textId="77777777" w:rsidR="007016CA" w:rsidRDefault="00000000">
            <w:r>
              <w:rPr>
                <w:sz w:val="20"/>
                <w:szCs w:val="20"/>
              </w:rPr>
              <w:t xml:space="preserve">Power 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>, Kundenportal, KI-Piloten</w:t>
            </w:r>
          </w:p>
        </w:tc>
        <w:tc>
          <w:tcPr>
            <w:tcW w:w="1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25" w14:textId="77777777" w:rsidR="007016CA" w:rsidRDefault="00000000">
            <w:r>
              <w:rPr>
                <w:sz w:val="20"/>
                <w:szCs w:val="20"/>
              </w:rPr>
              <w:t>Fachbereich / Lean</w:t>
            </w:r>
          </w:p>
        </w:tc>
      </w:tr>
    </w:tbl>
    <w:p w14:paraId="503B4327" w14:textId="77777777" w:rsidR="007016CA" w:rsidRDefault="007016CA">
      <w:pPr>
        <w:spacing w:before="60" w:after="80"/>
        <w:jc w:val="both"/>
      </w:pPr>
    </w:p>
    <w:p w14:paraId="503B4328" w14:textId="77777777" w:rsidR="007016CA" w:rsidRDefault="00000000">
      <w:pPr>
        <w:pStyle w:val="berschrift3"/>
      </w:pPr>
      <w:r>
        <w:rPr>
          <w:color w:val="1F497D"/>
        </w:rPr>
        <w:t>Operatives Vorgehen (5 Schritte)</w:t>
      </w:r>
    </w:p>
    <w:p w14:paraId="503B4329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Alle SCM-Anwendungen einer der drei Schichten zuordnen</w:t>
      </w:r>
    </w:p>
    <w:p w14:paraId="503B432A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Akzeptablen Veränderungsrhythmus je Schicht definieren</w:t>
      </w:r>
    </w:p>
    <w:p w14:paraId="503B432B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Governance</w:t>
      </w:r>
      <w:proofErr w:type="spellEnd"/>
      <w:r>
        <w:rPr>
          <w:color w:val="000000"/>
        </w:rPr>
        <w:t>-Modell je Schicht anpassen (Waterfall / Agile / Lean)</w:t>
      </w:r>
    </w:p>
    <w:p w14:paraId="503B432C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Investitionsprioritäten schichtenabhängig festlegen</w:t>
      </w:r>
    </w:p>
    <w:p w14:paraId="503B432D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Inter-Schicht-Integrationen via SAP Integration Suite sicherstellen</w:t>
      </w:r>
    </w:p>
    <w:p w14:paraId="503B432E" w14:textId="77777777" w:rsidR="007016CA" w:rsidRDefault="007016CA">
      <w:pPr>
        <w:spacing w:before="60" w:after="80"/>
        <w:jc w:val="both"/>
      </w:pPr>
    </w:p>
    <w:tbl>
      <w:tblPr>
        <w:tblStyle w:val="a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331" w14:textId="77777777">
        <w:tc>
          <w:tcPr>
            <w:tcW w:w="9026" w:type="dxa"/>
            <w:tcBorders>
              <w:top w:val="single" w:sz="4" w:space="0" w:color="185FA5"/>
              <w:left w:val="single" w:sz="12" w:space="0" w:color="185FA5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32F" w14:textId="77777777" w:rsidR="007016C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Anwendungskontext ASMPT:</w:t>
            </w:r>
          </w:p>
          <w:p w14:paraId="503B4330" w14:textId="77777777" w:rsidR="007016CA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Für ASMPT gilt: SAP ERP = </w:t>
            </w:r>
            <w:proofErr w:type="spellStart"/>
            <w:r>
              <w:rPr>
                <w:sz w:val="20"/>
                <w:szCs w:val="20"/>
              </w:rPr>
              <w:t>SoR</w:t>
            </w:r>
            <w:proofErr w:type="spellEnd"/>
            <w:r>
              <w:rPr>
                <w:sz w:val="20"/>
                <w:szCs w:val="20"/>
              </w:rPr>
              <w:t xml:space="preserve"> (Stabilität), SAP IBP / </w:t>
            </w:r>
            <w:proofErr w:type="spellStart"/>
            <w:r>
              <w:rPr>
                <w:sz w:val="20"/>
                <w:szCs w:val="20"/>
              </w:rPr>
              <w:t>Jaggaer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(Differenzierung, alle 1–3 Jahre rekonfiguriert), Power 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 xml:space="preserve"> / Kundenportale = </w:t>
            </w:r>
            <w:proofErr w:type="spellStart"/>
            <w:r>
              <w:rPr>
                <w:sz w:val="20"/>
                <w:szCs w:val="20"/>
              </w:rPr>
              <w:t>SoI</w:t>
            </w:r>
            <w:proofErr w:type="spellEnd"/>
            <w:r>
              <w:rPr>
                <w:sz w:val="20"/>
                <w:szCs w:val="20"/>
              </w:rPr>
              <w:t xml:space="preserve"> (Innovation, kurzfristige Experimente). SCM-Mitarbeiter verstehen diese Klassifikation intuitiv, ohne EA-Vorkenntnisse zu benötigen.</w:t>
            </w:r>
          </w:p>
        </w:tc>
      </w:tr>
    </w:tbl>
    <w:p w14:paraId="503B4332" w14:textId="77777777" w:rsidR="007016CA" w:rsidRDefault="007016CA">
      <w:pPr>
        <w:spacing w:before="60" w:after="80"/>
        <w:jc w:val="both"/>
      </w:pPr>
    </w:p>
    <w:p w14:paraId="503B4333" w14:textId="77777777" w:rsidR="007016CA" w:rsidRDefault="00000000">
      <w:pPr>
        <w:pStyle w:val="berschrift2"/>
      </w:pPr>
      <w:r>
        <w:t>2.3 CIO Council 4R-Modell</w:t>
      </w:r>
    </w:p>
    <w:p w14:paraId="503B4334" w14:textId="77777777" w:rsidR="007016CA" w:rsidRDefault="00000000">
      <w:pPr>
        <w:pBdr>
          <w:top w:val="single" w:sz="4" w:space="0" w:color="185FA5"/>
          <w:left w:val="single" w:sz="4" w:space="0" w:color="185FA5"/>
          <w:bottom w:val="single" w:sz="4" w:space="0" w:color="185FA5"/>
          <w:right w:val="single" w:sz="4" w:space="0" w:color="185FA5"/>
        </w:pBdr>
        <w:shd w:val="clear" w:color="auto" w:fill="185FA5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lastRenderedPageBreak/>
        <w:t xml:space="preserve">SCM-Zugänglichkeit: Sehr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</w:t>
      </w:r>
      <w:proofErr w:type="gramStart"/>
      <w:r>
        <w:rPr>
          <w:b/>
          <w:bCs/>
          <w:color w:val="FFFFFF"/>
          <w:sz w:val="20"/>
          <w:szCs w:val="20"/>
        </w:rPr>
        <w:t>Gering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Mittel</w:t>
      </w:r>
    </w:p>
    <w:p w14:paraId="503B4335" w14:textId="77777777" w:rsidR="007016CA" w:rsidRDefault="007016CA">
      <w:pPr>
        <w:spacing w:before="60" w:after="80"/>
        <w:jc w:val="both"/>
      </w:pPr>
    </w:p>
    <w:p w14:paraId="503B4336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337" w14:textId="77777777" w:rsidR="007016CA" w:rsidRDefault="00000000">
      <w:pPr>
        <w:spacing w:before="60" w:after="80"/>
        <w:jc w:val="both"/>
      </w:pPr>
      <w:r>
        <w:t xml:space="preserve">Das 4R-Modell des amerikanischen CIO Council (Review – </w:t>
      </w:r>
      <w:proofErr w:type="spellStart"/>
      <w:r>
        <w:t>Reward</w:t>
      </w:r>
      <w:proofErr w:type="spellEnd"/>
      <w:r>
        <w:t xml:space="preserve"> – Refresh – Remove) ist eine handlungsorientierte Alternative zum TIME-Modell. Es verzichtet auf eine Matrix-Positionierung und ist direkt auf Entscheidungen ausgerichtet. </w:t>
      </w:r>
      <w:proofErr w:type="spellStart"/>
      <w:r>
        <w:t>Ardoq</w:t>
      </w:r>
      <w:proofErr w:type="spellEnd"/>
      <w:r>
        <w:t xml:space="preserve"> kombiniert es in seiner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Rationalization</w:t>
      </w:r>
      <w:proofErr w:type="spellEnd"/>
      <w:r>
        <w:t xml:space="preserve"> mit dem Gartner-TIME-Modell, um optimale Abdeckung zu erzielen. Das Modell eignet sich besonders für </w:t>
      </w:r>
      <w:proofErr w:type="spellStart"/>
      <w:r>
        <w:t>participative</w:t>
      </w:r>
      <w:proofErr w:type="spellEnd"/>
      <w:r>
        <w:t xml:space="preserve"> Workshops mit gemischten IT- und Fachanwender-Teams.</w:t>
      </w:r>
    </w:p>
    <w:p w14:paraId="503B4338" w14:textId="77777777" w:rsidR="007016CA" w:rsidRDefault="00000000">
      <w:pPr>
        <w:pStyle w:val="berschrift3"/>
      </w:pPr>
      <w:r>
        <w:rPr>
          <w:color w:val="1F497D"/>
        </w:rPr>
        <w:t>Entscheidungskategorien</w:t>
      </w: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3600"/>
        <w:gridCol w:w="3826"/>
      </w:tblGrid>
      <w:tr w:rsidR="007016CA" w14:paraId="503B433C" w14:textId="77777777">
        <w:trPr>
          <w:tblHeader/>
        </w:trPr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39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3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3A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3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3B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Typische ASMPT-Beispiele</w:t>
            </w:r>
          </w:p>
        </w:tc>
      </w:tr>
      <w:tr w:rsidR="007016CA" w14:paraId="503B434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3D" w14:textId="77777777" w:rsidR="007016CA" w:rsidRDefault="00000000">
            <w:r>
              <w:rPr>
                <w:sz w:val="20"/>
                <w:szCs w:val="20"/>
              </w:rPr>
              <w:t>Review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3E" w14:textId="77777777" w:rsidR="007016CA" w:rsidRDefault="00000000">
            <w:r>
              <w:rPr>
                <w:sz w:val="20"/>
                <w:szCs w:val="20"/>
              </w:rPr>
              <w:t>Relevanz überprüfen – ist die Anwendung noch notwendig?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3F" w14:textId="77777777" w:rsidR="007016CA" w:rsidRDefault="00000000">
            <w:r>
              <w:rPr>
                <w:sz w:val="20"/>
                <w:szCs w:val="20"/>
              </w:rPr>
              <w:t>16 Anwendungen mit unbekannten Metadaten</w:t>
            </w:r>
          </w:p>
        </w:tc>
      </w:tr>
      <w:tr w:rsidR="007016CA" w:rsidRPr="00015811" w14:paraId="503B434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1" w14:textId="77777777" w:rsidR="007016CA" w:rsidRDefault="00000000">
            <w:proofErr w:type="spellStart"/>
            <w:r>
              <w:rPr>
                <w:sz w:val="20"/>
                <w:szCs w:val="20"/>
              </w:rPr>
              <w:t>Reward</w:t>
            </w:r>
            <w:proofErr w:type="spellEnd"/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2" w14:textId="77777777" w:rsidR="007016CA" w:rsidRDefault="00000000">
            <w:r>
              <w:rPr>
                <w:sz w:val="20"/>
                <w:szCs w:val="20"/>
              </w:rPr>
              <w:t>Weiterinvestieren – die Anwendung bringt hohen Mehrwert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3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>SAP Integration Suite, Teamcenter, Workday</w:t>
            </w:r>
          </w:p>
        </w:tc>
      </w:tr>
      <w:tr w:rsidR="007016CA" w:rsidRPr="00015811" w14:paraId="503B434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5" w14:textId="77777777" w:rsidR="007016CA" w:rsidRDefault="00000000">
            <w:r>
              <w:rPr>
                <w:sz w:val="20"/>
                <w:szCs w:val="20"/>
              </w:rPr>
              <w:t>Refresh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6" w14:textId="77777777" w:rsidR="007016CA" w:rsidRDefault="00000000">
            <w:r>
              <w:rPr>
                <w:sz w:val="20"/>
                <w:szCs w:val="20"/>
              </w:rPr>
              <w:t>Modernisieren / migrieren – Funktion beibehalten, Technik erneuern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7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rFonts w:ascii="Arial Unicode MS" w:eastAsia="Arial Unicode MS" w:hAnsi="Arial Unicode MS" w:cs="Arial Unicode MS"/>
                <w:sz w:val="20"/>
                <w:szCs w:val="20"/>
                <w:lang w:val="en-US"/>
              </w:rPr>
              <w:t xml:space="preserve">SAP BW → SAP Analytics Cloud, </w:t>
            </w:r>
            <w:proofErr w:type="spellStart"/>
            <w:r w:rsidRPr="00015811">
              <w:rPr>
                <w:rFonts w:ascii="Arial Unicode MS" w:eastAsia="Arial Unicode MS" w:hAnsi="Arial Unicode MS" w:cs="Arial Unicode MS"/>
                <w:sz w:val="20"/>
                <w:szCs w:val="20"/>
                <w:lang w:val="en-US"/>
              </w:rPr>
              <w:t>Modaly</w:t>
            </w:r>
            <w:proofErr w:type="spellEnd"/>
            <w:r w:rsidRPr="00015811">
              <w:rPr>
                <w:rFonts w:ascii="Arial Unicode MS" w:eastAsia="Arial Unicode MS" w:hAnsi="Arial Unicode MS" w:cs="Arial Unicode MS"/>
                <w:sz w:val="20"/>
                <w:szCs w:val="20"/>
                <w:lang w:val="en-US"/>
              </w:rPr>
              <w:t xml:space="preserve"> → Power BI</w:t>
            </w:r>
          </w:p>
        </w:tc>
      </w:tr>
      <w:tr w:rsidR="007016CA" w14:paraId="503B434C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9" w14:textId="77777777" w:rsidR="007016CA" w:rsidRDefault="00000000">
            <w:r>
              <w:rPr>
                <w:sz w:val="20"/>
                <w:szCs w:val="20"/>
              </w:rPr>
              <w:t>Remove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A" w14:textId="77777777" w:rsidR="007016CA" w:rsidRDefault="00000000">
            <w:r>
              <w:rPr>
                <w:sz w:val="20"/>
                <w:szCs w:val="20"/>
              </w:rPr>
              <w:t>Abschalten – keine Funktion mehr oder ersetzt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4B" w14:textId="77777777" w:rsidR="007016CA" w:rsidRDefault="00000000">
            <w:r>
              <w:rPr>
                <w:sz w:val="20"/>
                <w:szCs w:val="20"/>
              </w:rPr>
              <w:t xml:space="preserve">SharePoint 2013, </w:t>
            </w:r>
            <w:proofErr w:type="spellStart"/>
            <w:r>
              <w:rPr>
                <w:sz w:val="20"/>
                <w:szCs w:val="20"/>
              </w:rPr>
              <w:t>iDOES</w:t>
            </w:r>
            <w:proofErr w:type="spellEnd"/>
            <w:r>
              <w:rPr>
                <w:sz w:val="20"/>
                <w:szCs w:val="20"/>
              </w:rPr>
              <w:t>, Celonis, Organisationsdiagramm</w:t>
            </w:r>
          </w:p>
        </w:tc>
      </w:tr>
    </w:tbl>
    <w:p w14:paraId="503B434D" w14:textId="77777777" w:rsidR="007016CA" w:rsidRDefault="007016CA">
      <w:pPr>
        <w:spacing w:before="60" w:after="80"/>
        <w:jc w:val="both"/>
      </w:pPr>
    </w:p>
    <w:p w14:paraId="503B434E" w14:textId="77777777" w:rsidR="007016CA" w:rsidRDefault="00000000">
      <w:pPr>
        <w:pStyle w:val="berschrift3"/>
      </w:pPr>
      <w:r>
        <w:rPr>
          <w:color w:val="1F497D"/>
        </w:rPr>
        <w:t>Operatives Vorgehen – Workshop-Format</w:t>
      </w:r>
    </w:p>
    <w:p w14:paraId="503B434F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SCM-Domänenverantwortliche zusammenbringen (PLAN, SOURCE, MAKE …)</w:t>
      </w:r>
    </w:p>
    <w:p w14:paraId="503B4350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Für jede Anwendung des Bereichs gemeinsam abstimmen: Review / </w:t>
      </w:r>
      <w:proofErr w:type="spellStart"/>
      <w:r>
        <w:rPr>
          <w:color w:val="000000"/>
        </w:rPr>
        <w:t>Reward</w:t>
      </w:r>
      <w:proofErr w:type="spellEnd"/>
      <w:r>
        <w:rPr>
          <w:color w:val="000000"/>
        </w:rPr>
        <w:t xml:space="preserve"> / Refresh / Remove</w:t>
      </w:r>
    </w:p>
    <w:p w14:paraId="503B4351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Ergebnisse nach Standorten konsolidieren (München, UK, Singapur, Malaysia)</w:t>
      </w:r>
    </w:p>
    <w:p w14:paraId="503B4352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000000"/>
        </w:rPr>
        <w:t>Abweichungen zwischen Standorten identifizieren → Grundlage für UK-Harmonisierung</w:t>
      </w:r>
    </w:p>
    <w:p w14:paraId="503B4353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Migrationroadmap</w:t>
      </w:r>
      <w:proofErr w:type="spellEnd"/>
      <w:r>
        <w:rPr>
          <w:color w:val="000000"/>
        </w:rPr>
        <w:t xml:space="preserve"> mit den abgestimmten Entscheidungen befüllen</w:t>
      </w:r>
    </w:p>
    <w:p w14:paraId="503B4354" w14:textId="77777777" w:rsidR="007016CA" w:rsidRDefault="007016CA">
      <w:pPr>
        <w:spacing w:before="60" w:after="80"/>
        <w:jc w:val="both"/>
      </w:pP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357" w14:textId="77777777">
        <w:tc>
          <w:tcPr>
            <w:tcW w:w="9026" w:type="dxa"/>
            <w:tcBorders>
              <w:top w:val="single" w:sz="4" w:space="0" w:color="185FA5"/>
              <w:left w:val="single" w:sz="12" w:space="0" w:color="185FA5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355" w14:textId="77777777" w:rsidR="007016CA" w:rsidRDefault="00000000">
            <w:pPr>
              <w:spacing w:after="60"/>
            </w:pPr>
            <w:r>
              <w:rPr>
                <w:b/>
                <w:bCs/>
                <w:color w:val="185FA5"/>
                <w:sz w:val="20"/>
                <w:szCs w:val="20"/>
              </w:rPr>
              <w:t>Anwendungskontext ASMPT:</w:t>
            </w:r>
          </w:p>
          <w:p w14:paraId="503B4356" w14:textId="77777777" w:rsidR="007016CA" w:rsidRDefault="00000000">
            <w:pPr>
              <w:jc w:val="both"/>
            </w:pPr>
            <w:r>
              <w:rPr>
                <w:sz w:val="20"/>
                <w:szCs w:val="20"/>
              </w:rPr>
              <w:t>Das 4R-Modell ist ideal für einen 2-stündigen Partizipationsworkshop mit SCM-Teams. Es erfordert keine EA-Kenntnisse und eignet sich besonders zur Behandlung der UK-Divergenz: Durch Vergleich der Bewertungen zwischen Standorten werden die 12+ abweichenden britischen Werkzeuge direkt sichtbar.</w:t>
            </w:r>
          </w:p>
        </w:tc>
      </w:tr>
    </w:tbl>
    <w:p w14:paraId="503B4358" w14:textId="77777777" w:rsidR="007016CA" w:rsidRDefault="007016CA">
      <w:pPr>
        <w:spacing w:before="60" w:after="80"/>
        <w:jc w:val="both"/>
      </w:pPr>
    </w:p>
    <w:p w14:paraId="503B4359" w14:textId="77777777" w:rsidR="007016CA" w:rsidRDefault="00000000">
      <w:r>
        <w:br w:type="page"/>
      </w:r>
    </w:p>
    <w:p w14:paraId="503B435A" w14:textId="77777777" w:rsidR="007016CA" w:rsidRDefault="00000000">
      <w:pPr>
        <w:pStyle w:val="berschrift1"/>
      </w:pPr>
      <w:r>
        <w:lastRenderedPageBreak/>
        <w:t>3. Kategorie 2: Wert- und Risikoanalysemodelle</w:t>
      </w:r>
    </w:p>
    <w:p w14:paraId="503B435B" w14:textId="77777777" w:rsidR="007016CA" w:rsidRDefault="00000000">
      <w:pPr>
        <w:spacing w:before="60" w:after="80"/>
        <w:jc w:val="both"/>
      </w:pPr>
      <w:r>
        <w:t>Diese Modelle ermöglichen eine strukturierte Bewertung des Geschäftswerts und der Risiken von Anwendungen und Transformationsinitiativen. Sie liefern die Grundlage für Investitionsentscheidungen und Executive-Berichte.</w:t>
      </w:r>
    </w:p>
    <w:p w14:paraId="503B435C" w14:textId="77777777" w:rsidR="007016CA" w:rsidRDefault="00000000">
      <w:pPr>
        <w:pStyle w:val="berschrift2"/>
      </w:pPr>
      <w:r>
        <w:t>3.1 Business Value Assessment – TOGAF</w:t>
      </w:r>
    </w:p>
    <w:p w14:paraId="503B435D" w14:textId="77777777" w:rsidR="007016CA" w:rsidRDefault="00000000">
      <w:pPr>
        <w:pBdr>
          <w:top w:val="single" w:sz="4" w:space="0" w:color="0F6E56"/>
          <w:left w:val="single" w:sz="4" w:space="0" w:color="0F6E56"/>
          <w:bottom w:val="single" w:sz="4" w:space="0" w:color="0F6E56"/>
          <w:right w:val="single" w:sz="4" w:space="0" w:color="0F6E56"/>
        </w:pBdr>
        <w:shd w:val="clear" w:color="auto" w:fill="0F6E56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</w:t>
      </w:r>
      <w:proofErr w:type="gramStart"/>
      <w:r>
        <w:rPr>
          <w:b/>
          <w:bCs/>
          <w:color w:val="FFFFFF"/>
          <w:sz w:val="20"/>
          <w:szCs w:val="20"/>
        </w:rPr>
        <w:t>Mittel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Sehr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Hoch</w:t>
      </w:r>
    </w:p>
    <w:p w14:paraId="503B435E" w14:textId="77777777" w:rsidR="007016CA" w:rsidRDefault="007016CA">
      <w:pPr>
        <w:spacing w:before="60" w:after="80"/>
        <w:jc w:val="both"/>
      </w:pPr>
    </w:p>
    <w:p w14:paraId="503B435F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360" w14:textId="77777777" w:rsidR="007016CA" w:rsidRDefault="00000000">
      <w:pPr>
        <w:spacing w:before="60" w:after="80"/>
        <w:jc w:val="both"/>
      </w:pPr>
      <w:r>
        <w:t>Die Business Value Assessment (BVA)-Technik aus dem TOGAF-Rahmenwerk bewertet Initiativen oder Anwendungen auf zwei zusammengesetzten Achsen: dem Value Index (erwarteter Nutzen) und dem Risk Index (technische, organisatorische und regulatorische Risiken). Durch gewichtete Kriterien ermöglicht das Modell eine objektivierte, priorisierte Darstellung von Investitionsentscheidungen.</w:t>
      </w:r>
    </w:p>
    <w:p w14:paraId="503B4361" w14:textId="77777777" w:rsidR="007016CA" w:rsidRDefault="00000000">
      <w:pPr>
        <w:pStyle w:val="berschrift3"/>
      </w:pPr>
      <w:r>
        <w:rPr>
          <w:color w:val="1F497D"/>
        </w:rPr>
        <w:t>Bewertungsachsen und Kriterien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200"/>
        <w:gridCol w:w="3400"/>
        <w:gridCol w:w="1626"/>
      </w:tblGrid>
      <w:tr w:rsidR="007016CA" w14:paraId="503B4366" w14:textId="77777777">
        <w:trPr>
          <w:tblHeader/>
        </w:trPr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62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Index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63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Kriterium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64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1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65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Gewicht (Beispiel)</w:t>
            </w:r>
          </w:p>
        </w:tc>
      </w:tr>
      <w:tr w:rsidR="007016CA" w14:paraId="503B436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67" w14:textId="77777777" w:rsidR="007016CA" w:rsidRDefault="00000000">
            <w:r>
              <w:rPr>
                <w:sz w:val="20"/>
                <w:szCs w:val="20"/>
              </w:rPr>
              <w:t>Value Index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68" w14:textId="77777777" w:rsidR="007016CA" w:rsidRDefault="00000000">
            <w:r>
              <w:rPr>
                <w:sz w:val="20"/>
                <w:szCs w:val="20"/>
              </w:rPr>
              <w:t>Strategische Ausrichtung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69" w14:textId="77777777" w:rsidR="007016CA" w:rsidRDefault="00000000">
            <w:r>
              <w:rPr>
                <w:sz w:val="20"/>
                <w:szCs w:val="20"/>
              </w:rPr>
              <w:t>Unterstützt die App die Geschäftsstrategie / SCOR-Ziele?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6A" w14:textId="77777777" w:rsidR="007016CA" w:rsidRDefault="00000000">
            <w:r>
              <w:rPr>
                <w:sz w:val="20"/>
                <w:szCs w:val="20"/>
              </w:rPr>
              <w:t>30 %</w:t>
            </w:r>
          </w:p>
        </w:tc>
      </w:tr>
      <w:tr w:rsidR="007016CA" w14:paraId="503B4370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6C" w14:textId="77777777" w:rsidR="007016CA" w:rsidRDefault="00000000">
            <w:r>
              <w:rPr>
                <w:sz w:val="20"/>
                <w:szCs w:val="20"/>
              </w:rPr>
              <w:t>Value Index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6D" w14:textId="77777777" w:rsidR="007016CA" w:rsidRDefault="00000000">
            <w:r>
              <w:rPr>
                <w:sz w:val="20"/>
                <w:szCs w:val="20"/>
              </w:rPr>
              <w:t>Finanzieller Beitrag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6E" w14:textId="77777777" w:rsidR="007016CA" w:rsidRDefault="00000000">
            <w:r>
              <w:rPr>
                <w:sz w:val="20"/>
                <w:szCs w:val="20"/>
              </w:rPr>
              <w:t>Erwartete Kosteneinsparung oder Umsatzsteigerung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6F" w14:textId="77777777" w:rsidR="007016CA" w:rsidRDefault="00000000">
            <w:r>
              <w:rPr>
                <w:sz w:val="20"/>
                <w:szCs w:val="20"/>
              </w:rPr>
              <w:t>25 %</w:t>
            </w:r>
          </w:p>
        </w:tc>
      </w:tr>
      <w:tr w:rsidR="007016CA" w14:paraId="503B4375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1" w14:textId="77777777" w:rsidR="007016CA" w:rsidRDefault="00000000">
            <w:r>
              <w:rPr>
                <w:sz w:val="20"/>
                <w:szCs w:val="20"/>
              </w:rPr>
              <w:t>Value Index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2" w14:textId="77777777" w:rsidR="007016CA" w:rsidRDefault="00000000">
            <w:r>
              <w:rPr>
                <w:sz w:val="20"/>
                <w:szCs w:val="20"/>
              </w:rPr>
              <w:t>Wettbewerbsposition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3" w14:textId="77777777" w:rsidR="007016CA" w:rsidRDefault="00000000">
            <w:r>
              <w:rPr>
                <w:sz w:val="20"/>
                <w:szCs w:val="20"/>
              </w:rPr>
              <w:t>Differenzierungspotenzial gegenüber Wettbewerbern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4" w14:textId="77777777" w:rsidR="007016CA" w:rsidRDefault="00000000">
            <w:r>
              <w:rPr>
                <w:sz w:val="20"/>
                <w:szCs w:val="20"/>
              </w:rPr>
              <w:t>20 %</w:t>
            </w:r>
          </w:p>
        </w:tc>
      </w:tr>
      <w:tr w:rsidR="007016CA" w14:paraId="503B437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6" w14:textId="77777777" w:rsidR="007016CA" w:rsidRDefault="00000000">
            <w:r>
              <w:rPr>
                <w:sz w:val="20"/>
                <w:szCs w:val="20"/>
              </w:rPr>
              <w:t>Value Index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7" w14:textId="77777777" w:rsidR="007016CA" w:rsidRDefault="00000000">
            <w:r>
              <w:rPr>
                <w:sz w:val="20"/>
                <w:szCs w:val="20"/>
              </w:rPr>
              <w:t>SCOR-Konformität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8" w14:textId="77777777" w:rsidR="007016CA" w:rsidRDefault="00000000">
            <w:r>
              <w:rPr>
                <w:sz w:val="20"/>
                <w:szCs w:val="20"/>
              </w:rPr>
              <w:t>Abdeckung der relevanten SCOR-L1/L2-Prozesse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9" w14:textId="77777777" w:rsidR="007016CA" w:rsidRDefault="00000000">
            <w:r>
              <w:rPr>
                <w:sz w:val="20"/>
                <w:szCs w:val="20"/>
              </w:rPr>
              <w:t>25 %</w:t>
            </w:r>
          </w:p>
        </w:tc>
      </w:tr>
      <w:tr w:rsidR="007016CA" w14:paraId="503B437F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B" w14:textId="77777777" w:rsidR="007016CA" w:rsidRDefault="00000000">
            <w:r>
              <w:rPr>
                <w:sz w:val="20"/>
                <w:szCs w:val="20"/>
              </w:rPr>
              <w:t>Risk Index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C" w14:textId="77777777" w:rsidR="007016CA" w:rsidRDefault="00000000">
            <w:r>
              <w:rPr>
                <w:sz w:val="20"/>
                <w:szCs w:val="20"/>
              </w:rPr>
              <w:t>Technisches Risiko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D" w14:textId="77777777" w:rsidR="007016CA" w:rsidRDefault="00000000">
            <w:r>
              <w:rPr>
                <w:sz w:val="20"/>
                <w:szCs w:val="20"/>
              </w:rPr>
              <w:t>Obsoleszenz, Integrierbarkeit, Vendor-Lock-in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7E" w14:textId="77777777" w:rsidR="007016CA" w:rsidRDefault="00000000">
            <w:r>
              <w:rPr>
                <w:sz w:val="20"/>
                <w:szCs w:val="20"/>
              </w:rPr>
              <w:t>35 %</w:t>
            </w:r>
          </w:p>
        </w:tc>
      </w:tr>
      <w:tr w:rsidR="007016CA" w14:paraId="503B4384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80" w14:textId="77777777" w:rsidR="007016CA" w:rsidRDefault="00000000">
            <w:r>
              <w:rPr>
                <w:sz w:val="20"/>
                <w:szCs w:val="20"/>
              </w:rPr>
              <w:t>Risk Index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81" w14:textId="77777777" w:rsidR="007016CA" w:rsidRDefault="00000000">
            <w:r>
              <w:rPr>
                <w:sz w:val="20"/>
                <w:szCs w:val="20"/>
              </w:rPr>
              <w:t>DSGVO / Compliance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82" w14:textId="77777777" w:rsidR="007016CA" w:rsidRDefault="00000000">
            <w:r>
              <w:rPr>
                <w:sz w:val="20"/>
                <w:szCs w:val="20"/>
              </w:rPr>
              <w:t>Datenschutzrisiken bei Cloud-Betrieb</w:t>
            </w:r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83" w14:textId="77777777" w:rsidR="007016CA" w:rsidRDefault="00000000">
            <w:r>
              <w:rPr>
                <w:sz w:val="20"/>
                <w:szCs w:val="20"/>
              </w:rPr>
              <w:t>30 %</w:t>
            </w:r>
          </w:p>
        </w:tc>
      </w:tr>
      <w:tr w:rsidR="007016CA" w14:paraId="503B4389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85" w14:textId="77777777" w:rsidR="007016CA" w:rsidRDefault="00000000">
            <w:r>
              <w:rPr>
                <w:sz w:val="20"/>
                <w:szCs w:val="20"/>
              </w:rPr>
              <w:t>Risk Index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86" w14:textId="77777777" w:rsidR="007016CA" w:rsidRDefault="00000000">
            <w:r>
              <w:rPr>
                <w:sz w:val="20"/>
                <w:szCs w:val="20"/>
              </w:rPr>
              <w:t>Organisatorisches Risiko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87" w14:textId="77777777" w:rsidR="007016CA" w:rsidRDefault="00000000">
            <w:r>
              <w:rPr>
                <w:sz w:val="20"/>
                <w:szCs w:val="20"/>
              </w:rPr>
              <w:t xml:space="preserve">Kompetenzlücken, </w:t>
            </w:r>
            <w:proofErr w:type="gramStart"/>
            <w:r>
              <w:rPr>
                <w:sz w:val="20"/>
                <w:szCs w:val="20"/>
              </w:rPr>
              <w:t>Change Management</w:t>
            </w:r>
            <w:proofErr w:type="gramEnd"/>
          </w:p>
        </w:tc>
        <w:tc>
          <w:tcPr>
            <w:tcW w:w="1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88" w14:textId="77777777" w:rsidR="007016CA" w:rsidRDefault="00000000">
            <w:r>
              <w:rPr>
                <w:sz w:val="20"/>
                <w:szCs w:val="20"/>
              </w:rPr>
              <w:t>35 %</w:t>
            </w:r>
          </w:p>
        </w:tc>
      </w:tr>
    </w:tbl>
    <w:p w14:paraId="503B438A" w14:textId="77777777" w:rsidR="007016CA" w:rsidRDefault="007016CA">
      <w:pPr>
        <w:spacing w:before="60" w:after="80"/>
        <w:jc w:val="both"/>
      </w:pPr>
    </w:p>
    <w:p w14:paraId="503B438B" w14:textId="77777777" w:rsidR="007016CA" w:rsidRDefault="00000000">
      <w:pPr>
        <w:pStyle w:val="berschrift3"/>
      </w:pPr>
      <w:r>
        <w:rPr>
          <w:color w:val="1F497D"/>
        </w:rPr>
        <w:t>Operatives Vorgehen (5 Schritte)</w:t>
      </w:r>
    </w:p>
    <w:p w14:paraId="503B438C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Wertekriterien mit SCM-Stakeholdern definieren und gewichten</w:t>
      </w:r>
    </w:p>
    <w:p w14:paraId="503B438D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Risikokriterien mit IT-Architekten und Compliance-Beauftragten definieren</w:t>
      </w:r>
    </w:p>
    <w:p w14:paraId="503B438E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Jede Anwendung bzw. Initiative (1–5) je Kriterium bewerten</w:t>
      </w:r>
    </w:p>
    <w:p w14:paraId="503B438F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Gewichtete </w:t>
      </w:r>
      <w:proofErr w:type="spellStart"/>
      <w:r>
        <w:rPr>
          <w:color w:val="000000"/>
        </w:rPr>
        <w:t>Gesamtscores</w:t>
      </w:r>
      <w:proofErr w:type="spellEnd"/>
      <w:r>
        <w:rPr>
          <w:color w:val="000000"/>
        </w:rPr>
        <w:t xml:space="preserve"> berechnen und auf 2×2-Matrix projizieren</w:t>
      </w:r>
    </w:p>
    <w:p w14:paraId="503B4390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  <w:color w:val="000000"/>
        </w:rPr>
        <w:t>Prioritäten ableiten: hoher Wert / geringes Risiko → sofortige Umsetzung</w:t>
      </w:r>
    </w:p>
    <w:p w14:paraId="503B4391" w14:textId="77777777" w:rsidR="007016CA" w:rsidRDefault="007016CA">
      <w:pPr>
        <w:spacing w:before="60" w:after="80"/>
        <w:jc w:val="both"/>
      </w:pPr>
    </w:p>
    <w:tbl>
      <w:tblPr>
        <w:tblStyle w:val="a8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394" w14:textId="77777777">
        <w:tc>
          <w:tcPr>
            <w:tcW w:w="9026" w:type="dxa"/>
            <w:tcBorders>
              <w:top w:val="single" w:sz="4" w:space="0" w:color="0F6E56"/>
              <w:left w:val="single" w:sz="12" w:space="0" w:color="0F6E56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392" w14:textId="77777777" w:rsidR="007016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Anwendungskontext ASMPT:</w:t>
            </w:r>
          </w:p>
          <w:p w14:paraId="503B4393" w14:textId="77777777" w:rsidR="007016CA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Die Risikomatrix ISO 31000 aus der bestehenden Analyse (10 Risiken, max. Score 25) entspricht bereits dem Risk Index. Empfehlung: Um den Value Index ergänzen, sodass </w:t>
            </w:r>
            <w:proofErr w:type="gramStart"/>
            <w:r>
              <w:rPr>
                <w:sz w:val="20"/>
                <w:szCs w:val="20"/>
              </w:rPr>
              <w:t xml:space="preserve">eine vollständige </w:t>
            </w:r>
            <w:r>
              <w:rPr>
                <w:sz w:val="20"/>
                <w:szCs w:val="20"/>
              </w:rPr>
              <w:lastRenderedPageBreak/>
              <w:t>Wert</w:t>
            </w:r>
            <w:proofErr w:type="gramEnd"/>
            <w:r>
              <w:rPr>
                <w:sz w:val="20"/>
                <w:szCs w:val="20"/>
              </w:rPr>
              <w:t>/Risiko-Matrix für die 6 SCOR-Domänen entsteht. Dies stärkt die Argumentationsbasis für Investitionsentscheidungen gegenüber der Geschäftsführung.</w:t>
            </w:r>
          </w:p>
        </w:tc>
      </w:tr>
    </w:tbl>
    <w:p w14:paraId="503B4395" w14:textId="77777777" w:rsidR="007016CA" w:rsidRDefault="007016CA">
      <w:pPr>
        <w:spacing w:before="60" w:after="80"/>
        <w:jc w:val="both"/>
      </w:pPr>
    </w:p>
    <w:p w14:paraId="503B4396" w14:textId="77777777" w:rsidR="007016CA" w:rsidRDefault="00000000">
      <w:pPr>
        <w:pStyle w:val="berschrift2"/>
      </w:pPr>
      <w:r>
        <w:t>3.2 Wert-Komplexitäts-Matrix</w:t>
      </w:r>
    </w:p>
    <w:p w14:paraId="503B4397" w14:textId="77777777" w:rsidR="007016CA" w:rsidRDefault="00000000">
      <w:pPr>
        <w:pBdr>
          <w:top w:val="single" w:sz="4" w:space="0" w:color="0F6E56"/>
          <w:left w:val="single" w:sz="4" w:space="0" w:color="0F6E56"/>
          <w:bottom w:val="single" w:sz="4" w:space="0" w:color="0F6E56"/>
          <w:right w:val="single" w:sz="4" w:space="0" w:color="0F6E56"/>
        </w:pBdr>
        <w:shd w:val="clear" w:color="auto" w:fill="0F6E56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Sehr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</w:t>
      </w:r>
      <w:proofErr w:type="gramStart"/>
      <w:r>
        <w:rPr>
          <w:b/>
          <w:bCs/>
          <w:color w:val="FFFFFF"/>
          <w:sz w:val="20"/>
          <w:szCs w:val="20"/>
        </w:rPr>
        <w:t>Mittel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Hoch</w:t>
      </w:r>
    </w:p>
    <w:p w14:paraId="503B4398" w14:textId="77777777" w:rsidR="007016CA" w:rsidRDefault="007016CA">
      <w:pPr>
        <w:spacing w:before="60" w:after="80"/>
        <w:jc w:val="both"/>
      </w:pPr>
    </w:p>
    <w:p w14:paraId="503B4399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39A" w14:textId="77777777" w:rsidR="007016CA" w:rsidRDefault="00000000">
      <w:pPr>
        <w:spacing w:before="60" w:after="80"/>
        <w:jc w:val="both"/>
      </w:pPr>
      <w:r>
        <w:t xml:space="preserve">Die Wert-Komplexitäts-Matrix (Value vs. </w:t>
      </w:r>
      <w:proofErr w:type="spellStart"/>
      <w:r>
        <w:t>Complexity</w:t>
      </w:r>
      <w:proofErr w:type="spellEnd"/>
      <w:r>
        <w:t xml:space="preserve">) ist ein schlankes Priorisierungsmodell, das Migrationsinitiativen nach ihrem erwarteten Mehrwert und ihrem Implementierungsaufwand einordnet. Sie identifiziert systematisch 'Quick Wins' (hoher Wert, geringer Aufwand), priorisiert Großprojekte ('Hard </w:t>
      </w:r>
      <w:proofErr w:type="spellStart"/>
      <w:r>
        <w:t>Bets</w:t>
      </w:r>
      <w:proofErr w:type="spellEnd"/>
      <w:r>
        <w:t>') und schließt unnötige Aktivitäten aus. Wegen ihrer Einfachheit ist sie besonders für Fachbereichs-Workshops geeignet.</w:t>
      </w:r>
    </w:p>
    <w:p w14:paraId="503B439B" w14:textId="77777777" w:rsidR="007016CA" w:rsidRDefault="00000000">
      <w:pPr>
        <w:pStyle w:val="berschrift3"/>
      </w:pPr>
      <w:r>
        <w:rPr>
          <w:color w:val="1F497D"/>
        </w:rPr>
        <w:t>Vier Quadranten</w:t>
      </w:r>
    </w:p>
    <w:tbl>
      <w:tblPr>
        <w:tblStyle w:val="a9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700"/>
        <w:gridCol w:w="1700"/>
        <w:gridCol w:w="3626"/>
      </w:tblGrid>
      <w:tr w:rsidR="007016CA" w14:paraId="503B43A0" w14:textId="77777777">
        <w:trPr>
          <w:tblHeader/>
        </w:trPr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9C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Quadrant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9D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Wert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9E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Aufwand</w:t>
            </w:r>
          </w:p>
        </w:tc>
        <w:tc>
          <w:tcPr>
            <w:tcW w:w="3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9F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Handlungsempfehlung</w:t>
            </w:r>
          </w:p>
        </w:tc>
      </w:tr>
      <w:tr w:rsidR="007016CA" w14:paraId="503B43A5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1" w14:textId="77777777" w:rsidR="007016CA" w:rsidRDefault="00000000">
            <w:r>
              <w:rPr>
                <w:sz w:val="20"/>
                <w:szCs w:val="20"/>
              </w:rPr>
              <w:t>Quick Wins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2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3" w14:textId="77777777" w:rsidR="007016CA" w:rsidRDefault="00000000">
            <w:r>
              <w:rPr>
                <w:sz w:val="20"/>
                <w:szCs w:val="20"/>
              </w:rPr>
              <w:t>Gering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4" w14:textId="77777777" w:rsidR="007016CA" w:rsidRDefault="00000000">
            <w:r>
              <w:rPr>
                <w:sz w:val="20"/>
                <w:szCs w:val="20"/>
              </w:rPr>
              <w:t>Sofort priorisieren – erste Migrationswelle</w:t>
            </w:r>
          </w:p>
        </w:tc>
      </w:tr>
      <w:tr w:rsidR="007016CA" w14:paraId="503B43AA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6" w14:textId="77777777" w:rsidR="007016CA" w:rsidRDefault="00000000">
            <w:r>
              <w:rPr>
                <w:sz w:val="20"/>
                <w:szCs w:val="20"/>
              </w:rPr>
              <w:t xml:space="preserve">Hard </w:t>
            </w:r>
            <w:proofErr w:type="spellStart"/>
            <w:r>
              <w:rPr>
                <w:sz w:val="20"/>
                <w:szCs w:val="20"/>
              </w:rPr>
              <w:t>Bets</w:t>
            </w:r>
            <w:proofErr w:type="spellEnd"/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7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8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9" w14:textId="77777777" w:rsidR="007016CA" w:rsidRDefault="00000000">
            <w:r>
              <w:rPr>
                <w:sz w:val="20"/>
                <w:szCs w:val="20"/>
              </w:rPr>
              <w:t>Sorgfältig planen – mittlere und späte Phasen</w:t>
            </w:r>
          </w:p>
        </w:tc>
      </w:tr>
      <w:tr w:rsidR="007016CA" w14:paraId="503B43AF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B" w14:textId="77777777" w:rsidR="007016CA" w:rsidRDefault="00000000">
            <w:r>
              <w:rPr>
                <w:sz w:val="20"/>
                <w:szCs w:val="20"/>
              </w:rPr>
              <w:t>Fill-ins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C" w14:textId="77777777" w:rsidR="007016CA" w:rsidRDefault="00000000">
            <w:r>
              <w:rPr>
                <w:sz w:val="20"/>
                <w:szCs w:val="20"/>
              </w:rPr>
              <w:t>Gering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D" w14:textId="77777777" w:rsidR="007016CA" w:rsidRDefault="00000000">
            <w:r>
              <w:rPr>
                <w:sz w:val="20"/>
                <w:szCs w:val="20"/>
              </w:rPr>
              <w:t>Gering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AE" w14:textId="77777777" w:rsidR="007016CA" w:rsidRDefault="00000000">
            <w:r>
              <w:rPr>
                <w:sz w:val="20"/>
                <w:szCs w:val="20"/>
              </w:rPr>
              <w:t>Opportunistisch umsetzen – wenn Kapazität vorhanden</w:t>
            </w:r>
          </w:p>
        </w:tc>
      </w:tr>
      <w:tr w:rsidR="007016CA" w14:paraId="503B43B4" w14:textId="77777777"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B0" w14:textId="77777777" w:rsidR="007016CA" w:rsidRDefault="00000000">
            <w:proofErr w:type="spellStart"/>
            <w:r>
              <w:rPr>
                <w:sz w:val="20"/>
                <w:szCs w:val="20"/>
              </w:rPr>
              <w:t>Thankless</w:t>
            </w:r>
            <w:proofErr w:type="spellEnd"/>
            <w:r>
              <w:rPr>
                <w:sz w:val="20"/>
                <w:szCs w:val="20"/>
              </w:rPr>
              <w:t xml:space="preserve"> Tasks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B1" w14:textId="77777777" w:rsidR="007016CA" w:rsidRDefault="00000000">
            <w:r>
              <w:rPr>
                <w:sz w:val="20"/>
                <w:szCs w:val="20"/>
              </w:rPr>
              <w:t>Gering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B2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3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B3" w14:textId="77777777" w:rsidR="007016CA" w:rsidRDefault="00000000">
            <w:r>
              <w:rPr>
                <w:sz w:val="20"/>
                <w:szCs w:val="20"/>
              </w:rPr>
              <w:t>Vermeiden – Ressourcen umleiten</w:t>
            </w:r>
          </w:p>
        </w:tc>
      </w:tr>
    </w:tbl>
    <w:p w14:paraId="503B43B5" w14:textId="77777777" w:rsidR="007016CA" w:rsidRDefault="007016CA">
      <w:pPr>
        <w:spacing w:before="60" w:after="80"/>
        <w:jc w:val="both"/>
      </w:pPr>
    </w:p>
    <w:p w14:paraId="503B43B6" w14:textId="77777777" w:rsidR="007016CA" w:rsidRDefault="00000000">
      <w:pPr>
        <w:pStyle w:val="berschrift3"/>
      </w:pPr>
      <w:r>
        <w:rPr>
          <w:color w:val="1F497D"/>
        </w:rPr>
        <w:t>Operatives Vorgehen (5 Schritte)</w:t>
      </w:r>
    </w:p>
    <w:p w14:paraId="503B43B7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Alle identifizierten Migrationsinitiativen auflisten</w:t>
      </w:r>
    </w:p>
    <w:p w14:paraId="503B43B8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Geschäftswert durch SCM-Owner bewerten (1–5, z. B. Verbesserung OTIF, Lagerreduktion)</w:t>
      </w:r>
    </w:p>
    <w:p w14:paraId="503B43B9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Implementierungsaufwand durch IT-Teams bewerten (1–5)</w:t>
      </w:r>
    </w:p>
    <w:p w14:paraId="503B43BA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Auf 2×2-Matrix positionieren und Quadranten zuordnen</w:t>
      </w:r>
    </w:p>
    <w:p w14:paraId="503B43BB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Migrationssequenz und Phasenzuordnung für Roadmap 2025–2030 festlegen</w:t>
      </w:r>
    </w:p>
    <w:p w14:paraId="503B43BC" w14:textId="77777777" w:rsidR="007016CA" w:rsidRDefault="007016CA">
      <w:pPr>
        <w:spacing w:before="60" w:after="80"/>
        <w:jc w:val="both"/>
      </w:pPr>
    </w:p>
    <w:tbl>
      <w:tblPr>
        <w:tblStyle w:val="aa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3BF" w14:textId="77777777">
        <w:tc>
          <w:tcPr>
            <w:tcW w:w="9026" w:type="dxa"/>
            <w:tcBorders>
              <w:top w:val="single" w:sz="4" w:space="0" w:color="0F6E56"/>
              <w:left w:val="single" w:sz="12" w:space="0" w:color="0F6E56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3BD" w14:textId="77777777" w:rsidR="007016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Anwendungskontext ASMPT:</w:t>
            </w:r>
          </w:p>
          <w:p w14:paraId="503B43BE" w14:textId="77777777" w:rsidR="007016CA" w:rsidRDefault="00000000">
            <w:pPr>
              <w:jc w:val="both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Dieses Modell eignet sich ideal für einen 2-Stunden-Workshop zur Validierung der 5 Migrationsphasen mit SCM-Teams. Erwartetes Ergebnis für ASMPT: Phase 0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Governance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und Phase 1 (Quick Wins: Domino → Power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Platform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Jaggaer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global) als eindeutige Quick Wins; Phase 3 (S/4HANA-Transformation) als Hard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Bet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der sorgfältiger Planung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bedarf.</w:t>
            </w:r>
          </w:p>
        </w:tc>
      </w:tr>
    </w:tbl>
    <w:p w14:paraId="503B43C0" w14:textId="77777777" w:rsidR="007016CA" w:rsidRDefault="007016CA">
      <w:pPr>
        <w:spacing w:before="60" w:after="80"/>
        <w:jc w:val="both"/>
      </w:pPr>
    </w:p>
    <w:p w14:paraId="503B43C1" w14:textId="77777777" w:rsidR="007016CA" w:rsidRDefault="00000000">
      <w:pPr>
        <w:pStyle w:val="berschrift2"/>
      </w:pPr>
      <w:r>
        <w:t>3.3 TCO/TVO-Analyse</w:t>
      </w:r>
    </w:p>
    <w:p w14:paraId="503B43C2" w14:textId="77777777" w:rsidR="007016CA" w:rsidRDefault="00000000">
      <w:pPr>
        <w:pBdr>
          <w:top w:val="single" w:sz="4" w:space="0" w:color="0F6E56"/>
          <w:left w:val="single" w:sz="4" w:space="0" w:color="0F6E56"/>
          <w:bottom w:val="single" w:sz="4" w:space="0" w:color="0F6E56"/>
          <w:right w:val="single" w:sz="4" w:space="0" w:color="0F6E56"/>
        </w:pBdr>
        <w:shd w:val="clear" w:color="auto" w:fill="0F6E56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</w:t>
      </w:r>
      <w:proofErr w:type="gramStart"/>
      <w:r>
        <w:rPr>
          <w:b/>
          <w:bCs/>
          <w:color w:val="FFFFFF"/>
          <w:sz w:val="20"/>
          <w:szCs w:val="20"/>
        </w:rPr>
        <w:t>Mittel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Sehr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Mittel</w:t>
      </w:r>
    </w:p>
    <w:p w14:paraId="503B43C3" w14:textId="77777777" w:rsidR="007016CA" w:rsidRDefault="007016CA">
      <w:pPr>
        <w:spacing w:before="60" w:after="80"/>
        <w:jc w:val="both"/>
      </w:pPr>
    </w:p>
    <w:p w14:paraId="503B43C4" w14:textId="77777777" w:rsidR="007016CA" w:rsidRDefault="00000000">
      <w:pPr>
        <w:pStyle w:val="berschrift3"/>
      </w:pPr>
      <w:r>
        <w:rPr>
          <w:color w:val="1F497D"/>
        </w:rPr>
        <w:lastRenderedPageBreak/>
        <w:t>Beschreibung</w:t>
      </w:r>
    </w:p>
    <w:p w14:paraId="503B43C5" w14:textId="77777777" w:rsidR="007016CA" w:rsidRDefault="00000000">
      <w:pPr>
        <w:spacing w:before="60" w:after="80"/>
        <w:jc w:val="both"/>
      </w:pPr>
      <w:r>
        <w:t xml:space="preserve">Die TCO/TVO-Analyse (Total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Ownership / Total Value </w:t>
      </w:r>
      <w:proofErr w:type="spellStart"/>
      <w:r>
        <w:t>of</w:t>
      </w:r>
      <w:proofErr w:type="spellEnd"/>
      <w:r>
        <w:t xml:space="preserve"> Ownership) ist das zentrale Finanzierungsinstrument für Cloud-Migrationsentscheidungen. TCO quantifiziert alle Kosten (Lizenzen, Infrastruktur, Betrieb, Support, Schulung), während TVO die qualitativen Vorteile (Agilität, Time-</w:t>
      </w:r>
      <w:proofErr w:type="spellStart"/>
      <w:r>
        <w:t>to</w:t>
      </w:r>
      <w:proofErr w:type="spellEnd"/>
      <w:r>
        <w:t>-Market, Mitarbeiterzufriedenheit) ergänzt. Empfohlen wird ein 3- bis 5-Jahres-Modell, das die sinkenden Cloud-Kosten und die steigenden On-</w:t>
      </w:r>
      <w:proofErr w:type="spellStart"/>
      <w:r>
        <w:t>premise</w:t>
      </w:r>
      <w:proofErr w:type="spellEnd"/>
      <w:r>
        <w:t>-Wartungskosten berücksichtigt.</w:t>
      </w:r>
    </w:p>
    <w:p w14:paraId="503B43C6" w14:textId="77777777" w:rsidR="007016CA" w:rsidRDefault="00000000">
      <w:pPr>
        <w:pStyle w:val="berschrift3"/>
      </w:pPr>
      <w:r>
        <w:rPr>
          <w:color w:val="1F497D"/>
        </w:rPr>
        <w:t>TCO-Komponenten</w:t>
      </w:r>
    </w:p>
    <w:tbl>
      <w:tblPr>
        <w:tblStyle w:val="ab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3400"/>
        <w:gridCol w:w="3426"/>
      </w:tblGrid>
      <w:tr w:rsidR="007016CA" w14:paraId="503B43CA" w14:textId="77777777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C7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Kostentyp</w:t>
            </w:r>
          </w:p>
        </w:tc>
        <w:tc>
          <w:tcPr>
            <w:tcW w:w="3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C8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Ist-Zustand On-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premise</w:t>
            </w:r>
            <w:proofErr w:type="spellEnd"/>
          </w:p>
        </w:tc>
        <w:tc>
          <w:tcPr>
            <w:tcW w:w="3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C9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Ziel-Zustand Cloud</w:t>
            </w:r>
          </w:p>
        </w:tc>
      </w:tr>
      <w:tr w:rsidR="007016CA" w14:paraId="503B43C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CB" w14:textId="77777777" w:rsidR="007016CA" w:rsidRDefault="00000000">
            <w:r>
              <w:rPr>
                <w:sz w:val="20"/>
                <w:szCs w:val="20"/>
              </w:rPr>
              <w:t>Softwarelizenzen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CC" w14:textId="77777777" w:rsidR="007016CA" w:rsidRDefault="00000000">
            <w:r>
              <w:rPr>
                <w:sz w:val="20"/>
                <w:szCs w:val="20"/>
              </w:rPr>
              <w:t>Einmalige Kauf- oder jährliche Wartungsgebühren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CD" w14:textId="77777777" w:rsidR="007016CA" w:rsidRDefault="00000000">
            <w:r>
              <w:rPr>
                <w:sz w:val="20"/>
                <w:szCs w:val="20"/>
              </w:rPr>
              <w:t>Nutzungsbasierte SaaS-Abonnements</w:t>
            </w:r>
          </w:p>
        </w:tc>
      </w:tr>
      <w:tr w:rsidR="007016CA" w14:paraId="503B43D2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CF" w14:textId="77777777" w:rsidR="007016CA" w:rsidRDefault="00000000">
            <w:r>
              <w:rPr>
                <w:sz w:val="20"/>
                <w:szCs w:val="20"/>
              </w:rPr>
              <w:t>Infrastruktur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0" w14:textId="77777777" w:rsidR="007016CA" w:rsidRDefault="00000000">
            <w:r>
              <w:rPr>
                <w:sz w:val="20"/>
                <w:szCs w:val="20"/>
              </w:rPr>
              <w:t>Server, Rechenzentrum, Betriebsteam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1" w14:textId="77777777" w:rsidR="007016CA" w:rsidRDefault="00000000">
            <w:r>
              <w:rPr>
                <w:sz w:val="20"/>
                <w:szCs w:val="20"/>
              </w:rPr>
              <w:t>Entfällt – vom Anbieter bereitgestellt</w:t>
            </w:r>
          </w:p>
        </w:tc>
      </w:tr>
      <w:tr w:rsidR="007016CA" w14:paraId="503B43D6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3" w14:textId="77777777" w:rsidR="007016CA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4" w14:textId="77777777" w:rsidR="007016CA" w:rsidRDefault="00000000">
            <w:r>
              <w:rPr>
                <w:sz w:val="20"/>
                <w:szCs w:val="20"/>
              </w:rPr>
              <w:t>Proprietäre Schnittstellen, hohe Wartung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5" w14:textId="77777777" w:rsidR="007016CA" w:rsidRDefault="00000000">
            <w:r>
              <w:rPr>
                <w:sz w:val="20"/>
                <w:szCs w:val="20"/>
              </w:rPr>
              <w:t>SAP Integration Suite als Standardschicht</w:t>
            </w:r>
          </w:p>
        </w:tc>
      </w:tr>
      <w:tr w:rsidR="007016CA" w14:paraId="503B43DA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7" w14:textId="77777777" w:rsidR="007016CA" w:rsidRDefault="00000000">
            <w:r>
              <w:rPr>
                <w:sz w:val="20"/>
                <w:szCs w:val="20"/>
              </w:rPr>
              <w:t>Migration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8" w14:textId="77777777" w:rsidR="007016CA" w:rsidRDefault="00000000">
            <w:r>
              <w:rPr>
                <w:sz w:val="20"/>
                <w:szCs w:val="20"/>
              </w:rPr>
              <w:t>Entfällt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9" w14:textId="77777777" w:rsidR="007016CA" w:rsidRDefault="00000000">
            <w:r>
              <w:rPr>
                <w:sz w:val="20"/>
                <w:szCs w:val="20"/>
              </w:rPr>
              <w:t>Einmalige Projektkosten + Schulung</w:t>
            </w:r>
          </w:p>
        </w:tc>
      </w:tr>
      <w:tr w:rsidR="007016CA" w14:paraId="503B43D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B" w14:textId="77777777" w:rsidR="007016CA" w:rsidRDefault="00000000">
            <w:r>
              <w:rPr>
                <w:sz w:val="20"/>
                <w:szCs w:val="20"/>
              </w:rPr>
              <w:t>Support</w:t>
            </w:r>
          </w:p>
        </w:tc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C" w14:textId="77777777" w:rsidR="007016CA" w:rsidRDefault="00000000">
            <w:r>
              <w:rPr>
                <w:sz w:val="20"/>
                <w:szCs w:val="20"/>
              </w:rPr>
              <w:t>Interne IT + Lizenzverlängerungen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DD" w14:textId="77777777" w:rsidR="007016CA" w:rsidRDefault="00000000">
            <w:r>
              <w:rPr>
                <w:sz w:val="20"/>
                <w:szCs w:val="20"/>
              </w:rPr>
              <w:t>SLA-basierter Anbietersupport</w:t>
            </w:r>
          </w:p>
        </w:tc>
      </w:tr>
    </w:tbl>
    <w:p w14:paraId="503B43DF" w14:textId="77777777" w:rsidR="007016CA" w:rsidRDefault="007016CA">
      <w:pPr>
        <w:spacing w:before="60" w:after="80"/>
        <w:jc w:val="both"/>
      </w:pPr>
    </w:p>
    <w:p w14:paraId="503B43E0" w14:textId="77777777" w:rsidR="007016CA" w:rsidRDefault="00000000">
      <w:pPr>
        <w:pStyle w:val="berschrift3"/>
      </w:pPr>
      <w:r>
        <w:rPr>
          <w:color w:val="1F497D"/>
        </w:rPr>
        <w:t>TVO-Komponenten (Qualitative Vorteile für SCM)</w:t>
      </w:r>
    </w:p>
    <w:p w14:paraId="503B43E1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Verbesserte Planungsgenauigkeit durch SAP IBP (Reduzierung des </w:t>
      </w:r>
      <w:proofErr w:type="spellStart"/>
      <w:r>
        <w:rPr>
          <w:color w:val="000000"/>
        </w:rPr>
        <w:t>Bullwhip</w:t>
      </w:r>
      <w:proofErr w:type="spellEnd"/>
      <w:r>
        <w:rPr>
          <w:color w:val="000000"/>
        </w:rPr>
        <w:t>-Effekts)</w:t>
      </w:r>
    </w:p>
    <w:p w14:paraId="503B43E2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Höhere OTIF-Rate durch integrierte Echtzeit-Datenverfügbarkeit</w:t>
      </w:r>
    </w:p>
    <w:p w14:paraId="503B43E3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Reduzierung der Lagerbestände durch präzisere Bedarfsprognosen</w:t>
      </w:r>
    </w:p>
    <w:p w14:paraId="503B43E4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Schnellere Reaktionsfähigkeit auf Lieferkettenunterbrechungen</w:t>
      </w:r>
    </w:p>
    <w:p w14:paraId="503B43E5" w14:textId="77777777" w:rsidR="007016C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Erhöhte Mitarbeiterzufriedenheit durch moderne, intuitive Oberflächen</w:t>
      </w:r>
    </w:p>
    <w:p w14:paraId="503B43E6" w14:textId="77777777" w:rsidR="007016CA" w:rsidRDefault="007016CA">
      <w:pPr>
        <w:spacing w:before="60" w:after="80"/>
        <w:jc w:val="both"/>
      </w:pPr>
    </w:p>
    <w:tbl>
      <w:tblPr>
        <w:tblStyle w:val="ac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3E9" w14:textId="77777777">
        <w:tc>
          <w:tcPr>
            <w:tcW w:w="9026" w:type="dxa"/>
            <w:tcBorders>
              <w:top w:val="single" w:sz="4" w:space="0" w:color="0F6E56"/>
              <w:left w:val="single" w:sz="12" w:space="0" w:color="0F6E56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3E7" w14:textId="77777777" w:rsidR="007016CA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Anwendungskontext ASMPT:</w:t>
            </w:r>
          </w:p>
          <w:p w14:paraId="503B43E8" w14:textId="77777777" w:rsidR="007016CA" w:rsidRDefault="00000000">
            <w:pPr>
              <w:jc w:val="both"/>
            </w:pPr>
            <w:r>
              <w:rPr>
                <w:sz w:val="20"/>
                <w:szCs w:val="20"/>
              </w:rPr>
              <w:t>TCO/TVO ist unverzichtbar für den Business Case zu S/4HANA (Phase 3, 2027–2029) und SAP IBP (Phase 1–2). SCM-Mitarbeiter leisten ihren Beitrag durch Quantifizierung der TVO-Vorteile: z. B. Einsparungspotenzial durch Lagerreduktion, Zeitgewinn durch automatisierte Disposition, Reduktion von Qualitätskosten. Empfehlung: 5-Jahres-TCO-Modell pro Domäne SCOR erstellen.</w:t>
            </w:r>
          </w:p>
        </w:tc>
      </w:tr>
    </w:tbl>
    <w:p w14:paraId="503B43EA" w14:textId="77777777" w:rsidR="007016CA" w:rsidRDefault="007016CA">
      <w:pPr>
        <w:spacing w:before="60" w:after="80"/>
        <w:jc w:val="both"/>
      </w:pPr>
    </w:p>
    <w:p w14:paraId="503B43EB" w14:textId="77777777" w:rsidR="007016CA" w:rsidRDefault="00000000">
      <w:r>
        <w:br w:type="page"/>
      </w:r>
    </w:p>
    <w:p w14:paraId="503B43EC" w14:textId="77777777" w:rsidR="007016CA" w:rsidRDefault="00000000">
      <w:pPr>
        <w:pStyle w:val="berschrift1"/>
      </w:pPr>
      <w:r>
        <w:lastRenderedPageBreak/>
        <w:t>4. Kategorie 3: Cloud-Migrationsmodelle</w:t>
      </w:r>
    </w:p>
    <w:p w14:paraId="503B43ED" w14:textId="77777777" w:rsidR="007016CA" w:rsidRDefault="00000000">
      <w:pPr>
        <w:spacing w:before="60" w:after="80"/>
        <w:jc w:val="both"/>
      </w:pPr>
      <w:r>
        <w:t>Diese Modelle definieren Strategien und Bewertungsrahmen für die operative Durchführung der Cloud-Migration. Sie ergänzen die strategischen Rationalisierungsmodelle um eine technische Dimension.</w:t>
      </w:r>
    </w:p>
    <w:p w14:paraId="503B43EE" w14:textId="77777777" w:rsidR="007016CA" w:rsidRDefault="00000000">
      <w:pPr>
        <w:pStyle w:val="berschrift2"/>
      </w:pPr>
      <w:r>
        <w:t>4.1 AWS/IBM 7R Cloud-Migrationsmodell</w:t>
      </w:r>
    </w:p>
    <w:p w14:paraId="503B43EF" w14:textId="77777777" w:rsidR="007016CA" w:rsidRDefault="00000000">
      <w:pPr>
        <w:pBdr>
          <w:top w:val="single" w:sz="4" w:space="0" w:color="854F0B"/>
          <w:left w:val="single" w:sz="4" w:space="0" w:color="854F0B"/>
          <w:bottom w:val="single" w:sz="4" w:space="0" w:color="854F0B"/>
          <w:right w:val="single" w:sz="4" w:space="0" w:color="854F0B"/>
        </w:pBdr>
        <w:shd w:val="clear" w:color="auto" w:fill="854F0B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</w:t>
      </w:r>
      <w:proofErr w:type="gramStart"/>
      <w:r>
        <w:rPr>
          <w:b/>
          <w:bCs/>
          <w:color w:val="FFFFFF"/>
          <w:sz w:val="20"/>
          <w:szCs w:val="20"/>
        </w:rPr>
        <w:t>Gering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Mittel</w:t>
      </w:r>
    </w:p>
    <w:p w14:paraId="503B43F0" w14:textId="77777777" w:rsidR="007016CA" w:rsidRDefault="007016CA">
      <w:pPr>
        <w:spacing w:before="60" w:after="80"/>
        <w:jc w:val="both"/>
      </w:pPr>
    </w:p>
    <w:p w14:paraId="503B43F1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3F2" w14:textId="77777777" w:rsidR="007016CA" w:rsidRDefault="00000000">
      <w:pPr>
        <w:spacing w:before="60" w:after="80"/>
        <w:jc w:val="both"/>
      </w:pPr>
      <w:r>
        <w:t>Das 7R-Modell definiert sieben Migrationsstrategien für jede Anwendung im Cloud-Kontext. Es ist das operative Standardmodell der großen Cloud-Anbieter (AWS, Azure, IBM) und ergänzt das TIME-Modell, indem es präzisiert, wie eine Migration technisch durchgeführt werden soll. Für SCM-Mitarbeiter ist es weniger geeignet als rein technisches Bewertungswerkzeug, jedoch wichtig zur Validierung strategischer Entscheidungen.</w:t>
      </w:r>
    </w:p>
    <w:p w14:paraId="503B43F3" w14:textId="77777777" w:rsidR="007016CA" w:rsidRDefault="00000000">
      <w:pPr>
        <w:pStyle w:val="berschrift3"/>
      </w:pPr>
      <w:r>
        <w:rPr>
          <w:color w:val="1F497D"/>
        </w:rPr>
        <w:t>Die sieben Migrationsstrategien</w:t>
      </w:r>
    </w:p>
    <w:tbl>
      <w:tblPr>
        <w:tblStyle w:val="ad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400"/>
        <w:gridCol w:w="2800"/>
        <w:gridCol w:w="3326"/>
      </w:tblGrid>
      <w:tr w:rsidR="007016CA" w14:paraId="503B43F8" w14:textId="77777777">
        <w:trPr>
          <w:tblHeader/>
        </w:trPr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F4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Strategie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F5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Englisch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F6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3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3F7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ASMPT-Beispiele</w:t>
            </w:r>
          </w:p>
        </w:tc>
      </w:tr>
      <w:tr w:rsidR="007016CA" w:rsidRPr="00015811" w14:paraId="503B43FD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F9" w14:textId="77777777" w:rsidR="007016CA" w:rsidRDefault="00000000">
            <w:r>
              <w:rPr>
                <w:sz w:val="20"/>
                <w:szCs w:val="20"/>
              </w:rPr>
              <w:t>Behalten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FA" w14:textId="77777777" w:rsidR="007016CA" w:rsidRDefault="00000000">
            <w:proofErr w:type="spellStart"/>
            <w:r>
              <w:rPr>
                <w:sz w:val="20"/>
                <w:szCs w:val="20"/>
              </w:rPr>
              <w:t>Retain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FB" w14:textId="77777777" w:rsidR="007016CA" w:rsidRDefault="00000000">
            <w:r>
              <w:rPr>
                <w:sz w:val="20"/>
                <w:szCs w:val="20"/>
              </w:rPr>
              <w:t>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 xml:space="preserve"> belassen (vorerst)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FC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>SAP BW/BO (</w:t>
            </w:r>
            <w:proofErr w:type="spellStart"/>
            <w:r w:rsidRPr="00015811">
              <w:rPr>
                <w:sz w:val="20"/>
                <w:szCs w:val="20"/>
                <w:lang w:val="en-US"/>
              </w:rPr>
              <w:t>Übergang</w:t>
            </w:r>
            <w:proofErr w:type="spellEnd"/>
            <w:r w:rsidRPr="00015811">
              <w:rPr>
                <w:sz w:val="20"/>
                <w:szCs w:val="20"/>
                <w:lang w:val="en-US"/>
              </w:rPr>
              <w:t>), OT/Shopfloor-Systeme</w:t>
            </w:r>
          </w:p>
        </w:tc>
      </w:tr>
      <w:tr w:rsidR="007016CA" w:rsidRPr="00015811" w14:paraId="503B4402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FE" w14:textId="77777777" w:rsidR="007016CA" w:rsidRDefault="00000000">
            <w:r>
              <w:rPr>
                <w:sz w:val="20"/>
                <w:szCs w:val="20"/>
              </w:rPr>
              <w:t>Stilllegen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3FF" w14:textId="77777777" w:rsidR="007016CA" w:rsidRDefault="00000000">
            <w:proofErr w:type="spellStart"/>
            <w:r>
              <w:rPr>
                <w:sz w:val="20"/>
                <w:szCs w:val="20"/>
              </w:rPr>
              <w:t>Retire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0" w14:textId="77777777" w:rsidR="007016CA" w:rsidRDefault="00000000">
            <w:r>
              <w:rPr>
                <w:sz w:val="20"/>
                <w:szCs w:val="20"/>
              </w:rPr>
              <w:t>Anwendung abschalten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1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 xml:space="preserve">SharePoint 2013, </w:t>
            </w:r>
            <w:proofErr w:type="spellStart"/>
            <w:r w:rsidRPr="00015811">
              <w:rPr>
                <w:sz w:val="20"/>
                <w:szCs w:val="20"/>
                <w:lang w:val="en-US"/>
              </w:rPr>
              <w:t>iDOES</w:t>
            </w:r>
            <w:proofErr w:type="spellEnd"/>
            <w:r w:rsidRPr="0001581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015811">
              <w:rPr>
                <w:sz w:val="20"/>
                <w:szCs w:val="20"/>
                <w:lang w:val="en-US"/>
              </w:rPr>
              <w:t>Celonis</w:t>
            </w:r>
            <w:proofErr w:type="spellEnd"/>
            <w:r w:rsidRPr="00015811">
              <w:rPr>
                <w:sz w:val="20"/>
                <w:szCs w:val="20"/>
                <w:lang w:val="en-US"/>
              </w:rPr>
              <w:t>, SAP CPI</w:t>
            </w:r>
          </w:p>
        </w:tc>
      </w:tr>
      <w:tr w:rsidR="007016CA" w14:paraId="503B440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3" w14:textId="77777777" w:rsidR="007016CA" w:rsidRDefault="00000000">
            <w:r>
              <w:rPr>
                <w:sz w:val="20"/>
                <w:szCs w:val="20"/>
              </w:rPr>
              <w:t>Umziehen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4" w14:textId="77777777" w:rsidR="007016CA" w:rsidRDefault="00000000">
            <w:proofErr w:type="spellStart"/>
            <w:r>
              <w:rPr>
                <w:sz w:val="20"/>
                <w:szCs w:val="20"/>
              </w:rPr>
              <w:t>Rehost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5" w14:textId="77777777" w:rsidR="007016CA" w:rsidRDefault="00000000">
            <w:r>
              <w:rPr>
                <w:sz w:val="20"/>
                <w:szCs w:val="20"/>
              </w:rPr>
              <w:t>Lift &amp; Shift – keine Codeänderung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6" w14:textId="77777777" w:rsidR="007016CA" w:rsidRDefault="00000000">
            <w:r>
              <w:rPr>
                <w:sz w:val="20"/>
                <w:szCs w:val="20"/>
              </w:rPr>
              <w:t>Interne Entwicklungen (kurzfristig)</w:t>
            </w:r>
          </w:p>
        </w:tc>
      </w:tr>
      <w:tr w:rsidR="007016CA" w:rsidRPr="00015811" w14:paraId="503B440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8" w14:textId="77777777" w:rsidR="007016CA" w:rsidRDefault="00000000">
            <w:r>
              <w:rPr>
                <w:sz w:val="20"/>
                <w:szCs w:val="20"/>
              </w:rPr>
              <w:t>Upgraden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9" w14:textId="77777777" w:rsidR="007016CA" w:rsidRDefault="00000000">
            <w:proofErr w:type="spellStart"/>
            <w:r>
              <w:rPr>
                <w:sz w:val="20"/>
                <w:szCs w:val="20"/>
              </w:rPr>
              <w:t>Replatform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A" w14:textId="77777777" w:rsidR="007016CA" w:rsidRDefault="00000000">
            <w:r>
              <w:rPr>
                <w:sz w:val="20"/>
                <w:szCs w:val="20"/>
              </w:rPr>
              <w:t>Plattformwechsel mit minimalen Anpassungen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B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rFonts w:ascii="Arial Unicode MS" w:eastAsia="Arial Unicode MS" w:hAnsi="Arial Unicode MS" w:cs="Arial Unicode MS"/>
                <w:sz w:val="20"/>
                <w:szCs w:val="20"/>
                <w:lang w:val="en-US"/>
              </w:rPr>
              <w:t>SAP BW → SAP BW Cloud</w:t>
            </w:r>
          </w:p>
        </w:tc>
      </w:tr>
      <w:tr w:rsidR="007016CA" w:rsidRPr="00015811" w14:paraId="503B4411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D" w14:textId="77777777" w:rsidR="007016CA" w:rsidRDefault="00000000">
            <w:r>
              <w:rPr>
                <w:sz w:val="20"/>
                <w:szCs w:val="20"/>
              </w:rPr>
              <w:t>Neu kaufen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E" w14:textId="77777777" w:rsidR="007016CA" w:rsidRDefault="00000000">
            <w:proofErr w:type="spellStart"/>
            <w:r>
              <w:rPr>
                <w:sz w:val="20"/>
                <w:szCs w:val="20"/>
              </w:rPr>
              <w:t>Repurchase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0F" w14:textId="77777777" w:rsidR="007016CA" w:rsidRDefault="00000000">
            <w:r>
              <w:rPr>
                <w:sz w:val="20"/>
                <w:szCs w:val="20"/>
              </w:rPr>
              <w:t>Wechsel auf SaaS-Lösung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0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rFonts w:ascii="Arial Unicode MS" w:eastAsia="Arial Unicode MS" w:hAnsi="Arial Unicode MS" w:cs="Arial Unicode MS"/>
                <w:sz w:val="20"/>
                <w:szCs w:val="20"/>
                <w:lang w:val="en-US"/>
              </w:rPr>
              <w:t>SAP BW → SAP Analytics Cloud, HR → Workday</w:t>
            </w:r>
          </w:p>
        </w:tc>
      </w:tr>
      <w:tr w:rsidR="007016CA" w14:paraId="503B4416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2" w14:textId="77777777" w:rsidR="007016CA" w:rsidRDefault="00000000">
            <w:r>
              <w:rPr>
                <w:sz w:val="20"/>
                <w:szCs w:val="20"/>
              </w:rPr>
              <w:t>Umbauen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3" w14:textId="77777777" w:rsidR="007016CA" w:rsidRDefault="00000000">
            <w:proofErr w:type="spellStart"/>
            <w:r>
              <w:rPr>
                <w:sz w:val="20"/>
                <w:szCs w:val="20"/>
              </w:rPr>
              <w:t>Refactor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4" w14:textId="77777777" w:rsidR="007016CA" w:rsidRDefault="00000000">
            <w:r>
              <w:rPr>
                <w:sz w:val="20"/>
                <w:szCs w:val="20"/>
              </w:rPr>
              <w:t xml:space="preserve">Neuentwicklung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>-nativ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5" w14:textId="77777777" w:rsidR="007016CA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HCL-Domino-Eigenentwicklungen → Power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Platform</w:t>
            </w:r>
            <w:proofErr w:type="spellEnd"/>
          </w:p>
        </w:tc>
      </w:tr>
      <w:tr w:rsidR="007016CA" w14:paraId="503B441B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7" w14:textId="77777777" w:rsidR="007016CA" w:rsidRDefault="00000000">
            <w:r>
              <w:rPr>
                <w:sz w:val="20"/>
                <w:szCs w:val="20"/>
              </w:rPr>
              <w:t>Neu aufsetzen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8" w14:textId="77777777" w:rsidR="007016CA" w:rsidRDefault="00000000">
            <w:proofErr w:type="spellStart"/>
            <w:r>
              <w:rPr>
                <w:sz w:val="20"/>
                <w:szCs w:val="20"/>
              </w:rPr>
              <w:t>Relocate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9" w14:textId="77777777" w:rsidR="007016CA" w:rsidRDefault="00000000">
            <w:r>
              <w:rPr>
                <w:sz w:val="20"/>
                <w:szCs w:val="20"/>
              </w:rPr>
              <w:t>Infrastruktur in Cloud verschieben</w:t>
            </w:r>
          </w:p>
        </w:tc>
        <w:tc>
          <w:tcPr>
            <w:tcW w:w="33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1A" w14:textId="77777777" w:rsidR="007016CA" w:rsidRDefault="00000000">
            <w:r>
              <w:rPr>
                <w:sz w:val="20"/>
                <w:szCs w:val="20"/>
              </w:rPr>
              <w:t>VMware-Workloads auf AWS/Azure</w:t>
            </w:r>
          </w:p>
        </w:tc>
      </w:tr>
    </w:tbl>
    <w:p w14:paraId="503B441C" w14:textId="77777777" w:rsidR="007016CA" w:rsidRDefault="007016CA">
      <w:pPr>
        <w:spacing w:before="60" w:after="80"/>
        <w:jc w:val="both"/>
      </w:pPr>
    </w:p>
    <w:p w14:paraId="503B441D" w14:textId="77777777" w:rsidR="007016CA" w:rsidRDefault="00000000">
      <w:pPr>
        <w:pStyle w:val="berschrift3"/>
      </w:pPr>
      <w:r>
        <w:rPr>
          <w:color w:val="1F497D"/>
        </w:rPr>
        <w:t>Operatives Vorgehen (5 Schritte)</w:t>
      </w:r>
    </w:p>
    <w:p w14:paraId="503B441E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Alle als '</w:t>
      </w:r>
      <w:proofErr w:type="spellStart"/>
      <w:r>
        <w:rPr>
          <w:color w:val="000000"/>
        </w:rPr>
        <w:t>Migrate</w:t>
      </w:r>
      <w:proofErr w:type="spellEnd"/>
      <w:r>
        <w:rPr>
          <w:color w:val="000000"/>
        </w:rPr>
        <w:t>' klassifizierten TIME-Anwendungen identifizieren</w:t>
      </w:r>
    </w:p>
    <w:p w14:paraId="503B441F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Für jede Anwendung die am besten geeignete 7R-Strategie bestimmen</w:t>
      </w:r>
    </w:p>
    <w:p w14:paraId="503B4420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Aufwand und Risiko je Strategie schätzen</w:t>
      </w:r>
    </w:p>
    <w:p w14:paraId="503B4421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Strategien in Migrationswellen einplanen</w:t>
      </w:r>
    </w:p>
    <w:p w14:paraId="503B4422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Fortschritt nach Strategietyp überwachen (Dashboard)</w:t>
      </w:r>
    </w:p>
    <w:p w14:paraId="503B4423" w14:textId="77777777" w:rsidR="007016CA" w:rsidRDefault="007016CA">
      <w:pPr>
        <w:spacing w:before="60" w:after="80"/>
        <w:jc w:val="both"/>
      </w:pPr>
    </w:p>
    <w:tbl>
      <w:tblPr>
        <w:tblStyle w:val="ae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426" w14:textId="77777777">
        <w:tc>
          <w:tcPr>
            <w:tcW w:w="9026" w:type="dxa"/>
            <w:tcBorders>
              <w:top w:val="single" w:sz="4" w:space="0" w:color="854F0B"/>
              <w:left w:val="single" w:sz="12" w:space="0" w:color="854F0B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424" w14:textId="77777777" w:rsidR="007016CA" w:rsidRDefault="00000000">
            <w:pPr>
              <w:spacing w:after="60"/>
            </w:pPr>
            <w:r>
              <w:rPr>
                <w:b/>
                <w:bCs/>
                <w:color w:val="854F0B"/>
                <w:sz w:val="20"/>
                <w:szCs w:val="20"/>
              </w:rPr>
              <w:t>Anwendungskontext ASMPT:</w:t>
            </w:r>
          </w:p>
          <w:p w14:paraId="503B4425" w14:textId="77777777" w:rsidR="007016CA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Das 7R-Modell ist das operative Ergänzungswerkzeug der IT-Architektur. SCM-Mitarbeiter leisten ihren Beitrag bei der Validierung zwischen </w:t>
            </w:r>
            <w:proofErr w:type="spellStart"/>
            <w:r>
              <w:rPr>
                <w:sz w:val="20"/>
                <w:szCs w:val="20"/>
              </w:rPr>
              <w:t>Replatform</w:t>
            </w:r>
            <w:proofErr w:type="spellEnd"/>
            <w:r>
              <w:rPr>
                <w:sz w:val="20"/>
                <w:szCs w:val="20"/>
              </w:rPr>
              <w:t xml:space="preserve"> (SAP BW Cloud) und </w:t>
            </w:r>
            <w:proofErr w:type="spellStart"/>
            <w:r>
              <w:rPr>
                <w:sz w:val="20"/>
                <w:szCs w:val="20"/>
              </w:rPr>
              <w:t>Repurchase</w:t>
            </w:r>
            <w:proofErr w:type="spellEnd"/>
            <w:r>
              <w:rPr>
                <w:sz w:val="20"/>
                <w:szCs w:val="20"/>
              </w:rPr>
              <w:t xml:space="preserve"> (SAP </w:t>
            </w:r>
            <w:r>
              <w:rPr>
                <w:sz w:val="20"/>
                <w:szCs w:val="20"/>
              </w:rPr>
              <w:lastRenderedPageBreak/>
              <w:t>Analytics Cloud) für ihren Funktionsbereich. Dies setzt voraus, dass sie die funktionalen Unterschiede zwischen beiden Optionen beurteilen können.</w:t>
            </w:r>
          </w:p>
        </w:tc>
      </w:tr>
    </w:tbl>
    <w:p w14:paraId="503B4427" w14:textId="77777777" w:rsidR="007016CA" w:rsidRDefault="007016CA">
      <w:pPr>
        <w:spacing w:before="60" w:after="80"/>
        <w:jc w:val="both"/>
      </w:pPr>
    </w:p>
    <w:p w14:paraId="503B4428" w14:textId="77777777" w:rsidR="007016CA" w:rsidRDefault="00000000">
      <w:pPr>
        <w:pStyle w:val="berschrift2"/>
      </w:pPr>
      <w:r>
        <w:t xml:space="preserve">4.2 Cloud </w:t>
      </w:r>
      <w:proofErr w:type="spellStart"/>
      <w:r>
        <w:t>Readiness</w:t>
      </w:r>
      <w:proofErr w:type="spellEnd"/>
      <w:r>
        <w:t xml:space="preserve"> Assessment</w:t>
      </w:r>
    </w:p>
    <w:p w14:paraId="503B4429" w14:textId="77777777" w:rsidR="007016CA" w:rsidRDefault="00000000">
      <w:pPr>
        <w:pBdr>
          <w:top w:val="single" w:sz="4" w:space="0" w:color="854F0B"/>
          <w:left w:val="single" w:sz="4" w:space="0" w:color="854F0B"/>
          <w:bottom w:val="single" w:sz="4" w:space="0" w:color="854F0B"/>
          <w:right w:val="single" w:sz="4" w:space="0" w:color="854F0B"/>
        </w:pBdr>
        <w:shd w:val="clear" w:color="auto" w:fill="854F0B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</w:t>
      </w:r>
      <w:proofErr w:type="gramStart"/>
      <w:r>
        <w:rPr>
          <w:b/>
          <w:bCs/>
          <w:color w:val="FFFFFF"/>
          <w:sz w:val="20"/>
          <w:szCs w:val="20"/>
        </w:rPr>
        <w:t>Mittel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Sehr hoch</w:t>
      </w:r>
    </w:p>
    <w:p w14:paraId="503B442A" w14:textId="77777777" w:rsidR="007016CA" w:rsidRDefault="007016CA">
      <w:pPr>
        <w:spacing w:before="60" w:after="80"/>
        <w:jc w:val="both"/>
      </w:pPr>
    </w:p>
    <w:p w14:paraId="503B442B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42C" w14:textId="77777777" w:rsidR="007016CA" w:rsidRDefault="00000000">
      <w:pPr>
        <w:spacing w:before="60" w:after="80"/>
        <w:jc w:val="both"/>
      </w:pPr>
      <w:r>
        <w:t xml:space="preserve">Das Cloud </w:t>
      </w:r>
      <w:proofErr w:type="spellStart"/>
      <w:r>
        <w:t>Readiness</w:t>
      </w:r>
      <w:proofErr w:type="spellEnd"/>
      <w:r>
        <w:t xml:space="preserve"> Assessment bewertet die Migrationsreife nach den 4 TOGAF-Schichten (Business, Information, </w:t>
      </w:r>
      <w:proofErr w:type="spellStart"/>
      <w:r>
        <w:t>Application</w:t>
      </w:r>
      <w:proofErr w:type="spellEnd"/>
      <w:r>
        <w:t>, Technology). Für jede Schicht wird ein Reifegrad (0–100 %) berechnet, der Blockaden sichtbar macht (z. B. OT/Shopfloor als Barriere auf Layer IV) und die optimale Migrationssequenz bestimmt. Dieses Modell eignet sich besonders für eine standort- und domänenspezifische Differenzierung.</w:t>
      </w:r>
    </w:p>
    <w:p w14:paraId="503B442D" w14:textId="77777777" w:rsidR="007016CA" w:rsidRDefault="00000000">
      <w:pPr>
        <w:pStyle w:val="berschrift3"/>
      </w:pPr>
      <w:r>
        <w:rPr>
          <w:color w:val="1F497D"/>
        </w:rPr>
        <w:t>Reifegradmatrix nach TOGAF-Schichten</w:t>
      </w:r>
    </w:p>
    <w:tbl>
      <w:tblPr>
        <w:tblStyle w:val="af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2200"/>
        <w:gridCol w:w="1800"/>
        <w:gridCol w:w="2600"/>
        <w:gridCol w:w="1426"/>
      </w:tblGrid>
      <w:tr w:rsidR="007016CA" w14:paraId="503B4433" w14:textId="77777777">
        <w:trPr>
          <w:tblHeader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2E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2F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Bezeichnung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30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Aktueller Score ASMPT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31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Hauptblockade</w:t>
            </w:r>
          </w:p>
        </w:tc>
        <w:tc>
          <w:tcPr>
            <w:tcW w:w="14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32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Ziel-Score</w:t>
            </w:r>
          </w:p>
        </w:tc>
      </w:tr>
      <w:tr w:rsidR="007016CA" w14:paraId="503B4439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4" w14:textId="77777777" w:rsidR="007016CA" w:rsidRDefault="00000000">
            <w:r>
              <w:rPr>
                <w:sz w:val="20"/>
                <w:szCs w:val="20"/>
              </w:rPr>
              <w:t>Layer 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5" w14:textId="77777777" w:rsidR="007016CA" w:rsidRDefault="00000000">
            <w:r>
              <w:rPr>
                <w:sz w:val="20"/>
                <w:szCs w:val="20"/>
              </w:rPr>
              <w:t>Business Architecture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6" w14:textId="77777777" w:rsidR="007016CA" w:rsidRDefault="00000000">
            <w:r>
              <w:rPr>
                <w:sz w:val="20"/>
                <w:szCs w:val="20"/>
              </w:rPr>
              <w:t>80 %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7" w14:textId="77777777" w:rsidR="007016CA" w:rsidRDefault="00000000">
            <w:r>
              <w:rPr>
                <w:sz w:val="20"/>
                <w:szCs w:val="20"/>
              </w:rPr>
              <w:t>S&amp;OP-Prozesse noch manuell (IBP fehlt)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8" w14:textId="77777777" w:rsidR="007016CA" w:rsidRDefault="00000000">
            <w:r>
              <w:rPr>
                <w:sz w:val="20"/>
                <w:szCs w:val="20"/>
              </w:rPr>
              <w:t>95 %</w:t>
            </w:r>
          </w:p>
        </w:tc>
      </w:tr>
      <w:tr w:rsidR="007016CA" w14:paraId="503B443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A" w14:textId="77777777" w:rsidR="007016CA" w:rsidRDefault="00000000">
            <w:r>
              <w:rPr>
                <w:sz w:val="20"/>
                <w:szCs w:val="20"/>
              </w:rPr>
              <w:t>Layer II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B" w14:textId="77777777" w:rsidR="007016CA" w:rsidRDefault="00000000">
            <w:r>
              <w:rPr>
                <w:sz w:val="20"/>
                <w:szCs w:val="20"/>
              </w:rPr>
              <w:t>Information Architecture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C" w14:textId="77777777" w:rsidR="007016CA" w:rsidRDefault="00000000">
            <w:r>
              <w:rPr>
                <w:sz w:val="20"/>
                <w:szCs w:val="20"/>
              </w:rPr>
              <w:t>55 %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D" w14:textId="77777777" w:rsidR="007016CA" w:rsidRDefault="00000000">
            <w:r>
              <w:rPr>
                <w:sz w:val="20"/>
                <w:szCs w:val="20"/>
              </w:rPr>
              <w:t>Integrationsherausforderungen bei Daten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3E" w14:textId="77777777" w:rsidR="007016CA" w:rsidRDefault="00000000">
            <w:r>
              <w:rPr>
                <w:sz w:val="20"/>
                <w:szCs w:val="20"/>
              </w:rPr>
              <w:t>85 %</w:t>
            </w:r>
          </w:p>
        </w:tc>
      </w:tr>
      <w:tr w:rsidR="007016CA" w14:paraId="503B444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0" w14:textId="77777777" w:rsidR="007016CA" w:rsidRDefault="00000000">
            <w:r>
              <w:rPr>
                <w:sz w:val="20"/>
                <w:szCs w:val="20"/>
              </w:rPr>
              <w:t>Layer III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1" w14:textId="77777777" w:rsidR="007016CA" w:rsidRDefault="00000000"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Architecture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2" w14:textId="77777777" w:rsidR="007016CA" w:rsidRDefault="00000000">
            <w:r>
              <w:rPr>
                <w:sz w:val="20"/>
                <w:szCs w:val="20"/>
              </w:rPr>
              <w:t>30 %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3" w14:textId="77777777" w:rsidR="007016CA" w:rsidRDefault="00000000">
            <w:r>
              <w:rPr>
                <w:sz w:val="20"/>
                <w:szCs w:val="20"/>
              </w:rPr>
              <w:t>63,5 % On-</w:t>
            </w:r>
            <w:proofErr w:type="spellStart"/>
            <w:r>
              <w:rPr>
                <w:sz w:val="20"/>
                <w:szCs w:val="20"/>
              </w:rPr>
              <w:t>premise</w:t>
            </w:r>
            <w:proofErr w:type="spellEnd"/>
            <w:r>
              <w:rPr>
                <w:sz w:val="20"/>
                <w:szCs w:val="20"/>
              </w:rPr>
              <w:t xml:space="preserve"> – größte Baustelle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4" w14:textId="77777777" w:rsidR="007016CA" w:rsidRDefault="00000000">
            <w:r>
              <w:rPr>
                <w:sz w:val="20"/>
                <w:szCs w:val="20"/>
              </w:rPr>
              <w:t>70 %</w:t>
            </w:r>
          </w:p>
        </w:tc>
      </w:tr>
      <w:tr w:rsidR="007016CA" w14:paraId="503B444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6" w14:textId="77777777" w:rsidR="007016CA" w:rsidRDefault="00000000">
            <w:r>
              <w:rPr>
                <w:sz w:val="20"/>
                <w:szCs w:val="20"/>
              </w:rPr>
              <w:t>Layer IV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7" w14:textId="77777777" w:rsidR="007016CA" w:rsidRDefault="00000000">
            <w:r>
              <w:rPr>
                <w:sz w:val="20"/>
                <w:szCs w:val="20"/>
              </w:rPr>
              <w:t>Technology Architecture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8" w14:textId="77777777" w:rsidR="007016CA" w:rsidRDefault="00000000">
            <w:r>
              <w:rPr>
                <w:sz w:val="20"/>
                <w:szCs w:val="20"/>
              </w:rPr>
              <w:t>45 %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9" w14:textId="77777777" w:rsidR="007016CA" w:rsidRDefault="00000000">
            <w:r>
              <w:rPr>
                <w:sz w:val="20"/>
                <w:szCs w:val="20"/>
              </w:rPr>
              <w:t>OT/Shopfloor blockiert vollständige Migration</w:t>
            </w:r>
          </w:p>
        </w:tc>
        <w:tc>
          <w:tcPr>
            <w:tcW w:w="1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4A" w14:textId="77777777" w:rsidR="007016CA" w:rsidRDefault="00000000">
            <w:r>
              <w:rPr>
                <w:sz w:val="20"/>
                <w:szCs w:val="20"/>
              </w:rPr>
              <w:t>75 %</w:t>
            </w:r>
          </w:p>
        </w:tc>
      </w:tr>
    </w:tbl>
    <w:p w14:paraId="503B444C" w14:textId="77777777" w:rsidR="007016CA" w:rsidRDefault="007016CA">
      <w:pPr>
        <w:spacing w:before="60" w:after="80"/>
        <w:jc w:val="both"/>
      </w:pPr>
    </w:p>
    <w:p w14:paraId="503B444D" w14:textId="77777777" w:rsidR="007016CA" w:rsidRDefault="00000000">
      <w:pPr>
        <w:pStyle w:val="berschrift3"/>
      </w:pPr>
      <w:r>
        <w:rPr>
          <w:color w:val="1F497D"/>
        </w:rPr>
        <w:t>Operatives Vorgehen (5 Schritte)</w:t>
      </w:r>
    </w:p>
    <w:p w14:paraId="503B444E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15–20 Bewertungsfragen je Layer definieren</w:t>
      </w:r>
    </w:p>
    <w:p w14:paraId="503B444F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Layer I und II durch SCM-Fachexperten bewerten lassen (Prozessreife, Datenqualität)</w:t>
      </w:r>
    </w:p>
    <w:p w14:paraId="503B4450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Layer III und IV durch IT-Architekten bewerten lassen (technische Bereitschaft)</w:t>
      </w:r>
    </w:p>
    <w:p w14:paraId="503B4451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Score je Layer und je SCOR-Domäne berechnen</w:t>
      </w:r>
    </w:p>
    <w:p w14:paraId="503B4452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Kritische Blockaden identifizieren und in den Aktionsplan aufnehmen</w:t>
      </w:r>
    </w:p>
    <w:p w14:paraId="503B4453" w14:textId="77777777" w:rsidR="007016CA" w:rsidRDefault="007016CA">
      <w:pPr>
        <w:spacing w:before="60" w:after="80"/>
        <w:jc w:val="both"/>
      </w:pPr>
    </w:p>
    <w:tbl>
      <w:tblPr>
        <w:tblStyle w:val="af0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456" w14:textId="77777777">
        <w:tc>
          <w:tcPr>
            <w:tcW w:w="9026" w:type="dxa"/>
            <w:tcBorders>
              <w:top w:val="single" w:sz="4" w:space="0" w:color="854F0B"/>
              <w:left w:val="single" w:sz="12" w:space="0" w:color="854F0B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454" w14:textId="77777777" w:rsidR="007016CA" w:rsidRDefault="00000000">
            <w:pPr>
              <w:spacing w:after="60"/>
            </w:pPr>
            <w:r>
              <w:rPr>
                <w:b/>
                <w:bCs/>
                <w:color w:val="854F0B"/>
                <w:sz w:val="20"/>
                <w:szCs w:val="20"/>
              </w:rPr>
              <w:t>Anwendungskontext ASMPT:</w:t>
            </w:r>
          </w:p>
          <w:p w14:paraId="503B4455" w14:textId="77777777" w:rsidR="007016CA" w:rsidRDefault="00000000">
            <w:pPr>
              <w:jc w:val="both"/>
            </w:pPr>
            <w:r>
              <w:rPr>
                <w:sz w:val="20"/>
                <w:szCs w:val="20"/>
              </w:rPr>
              <w:t>Dieses Modell wurde bereits in der bestehenden Analyse angewendet (80 % / 55 % / 30 % / 45 %). Empfohlene Erweiterung: Differenzierung nach SCOR-Domäne und Standort, um die spezifischen Lücken in UK/Malaysia/Singapur sichtbar zu machen und die Pilotentscheidung für München (Phase 3) zu untermauern.</w:t>
            </w:r>
          </w:p>
        </w:tc>
      </w:tr>
    </w:tbl>
    <w:p w14:paraId="503B4457" w14:textId="77777777" w:rsidR="007016CA" w:rsidRDefault="007016CA">
      <w:pPr>
        <w:spacing w:before="60" w:after="80"/>
        <w:jc w:val="both"/>
      </w:pPr>
    </w:p>
    <w:p w14:paraId="503B4458" w14:textId="77777777" w:rsidR="007016CA" w:rsidRDefault="00000000">
      <w:r>
        <w:br w:type="page"/>
      </w:r>
    </w:p>
    <w:p w14:paraId="503B4459" w14:textId="77777777" w:rsidR="007016CA" w:rsidRDefault="00000000">
      <w:pPr>
        <w:pStyle w:val="berschrift1"/>
      </w:pPr>
      <w:r>
        <w:lastRenderedPageBreak/>
        <w:t>5. Kategorie 4: SCM-Reifegradmodelle</w:t>
      </w:r>
    </w:p>
    <w:p w14:paraId="503B445A" w14:textId="77777777" w:rsidR="007016CA" w:rsidRDefault="00000000">
      <w:pPr>
        <w:spacing w:before="60" w:after="80"/>
        <w:jc w:val="both"/>
      </w:pPr>
      <w:r>
        <w:t xml:space="preserve">Diese Modelle </w:t>
      </w:r>
      <w:proofErr w:type="spellStart"/>
      <w:r>
        <w:t>bewertten</w:t>
      </w:r>
      <w:proofErr w:type="spellEnd"/>
      <w:r>
        <w:t xml:space="preserve"> die Reife der Supply-Chain-Prozesse und -Fähigkeiten. Sie sind die einzigen Modelle, die SCM-Mitarbeiter vollständig aus eigener Kompetenz heraus anwenden können, da sie direkt auf ihrem Prozesswissen beruhen.</w:t>
      </w:r>
    </w:p>
    <w:p w14:paraId="503B445B" w14:textId="77777777" w:rsidR="007016CA" w:rsidRPr="00015811" w:rsidRDefault="00000000">
      <w:pPr>
        <w:pStyle w:val="berschrift2"/>
        <w:rPr>
          <w:lang w:val="en-US"/>
        </w:rPr>
      </w:pPr>
      <w:r w:rsidRPr="00015811">
        <w:rPr>
          <w:lang w:val="en-US"/>
        </w:rPr>
        <w:t>5.1 SCOR Process Reference Model (ASCM)</w:t>
      </w:r>
    </w:p>
    <w:p w14:paraId="503B445C" w14:textId="77777777" w:rsidR="007016CA" w:rsidRDefault="00000000">
      <w:pPr>
        <w:pBdr>
          <w:top w:val="single" w:sz="4" w:space="0" w:color="993556"/>
          <w:left w:val="single" w:sz="4" w:space="0" w:color="993556"/>
          <w:bottom w:val="single" w:sz="4" w:space="0" w:color="993556"/>
          <w:right w:val="single" w:sz="4" w:space="0" w:color="993556"/>
        </w:pBdr>
        <w:shd w:val="clear" w:color="auto" w:fill="993556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Sehr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Sehr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Sehr hoch</w:t>
      </w:r>
    </w:p>
    <w:p w14:paraId="503B445D" w14:textId="77777777" w:rsidR="007016CA" w:rsidRDefault="007016CA">
      <w:pPr>
        <w:spacing w:before="60" w:after="80"/>
        <w:jc w:val="both"/>
      </w:pPr>
    </w:p>
    <w:p w14:paraId="503B445E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45F" w14:textId="77777777" w:rsidR="007016CA" w:rsidRDefault="00000000">
      <w:pPr>
        <w:spacing w:before="60" w:after="80"/>
        <w:jc w:val="both"/>
      </w:pPr>
      <w:r>
        <w:t xml:space="preserve">Das SCOR-Modell (Supply Chain </w:t>
      </w:r>
      <w:proofErr w:type="spellStart"/>
      <w:r>
        <w:t>Operations</w:t>
      </w:r>
      <w:proofErr w:type="spellEnd"/>
      <w:r>
        <w:t xml:space="preserve"> Reference) ist das Referenzrahmenwerk des ASCM zur Modellierung, Messung und Verbesserung von Lieferkettenprozessen. Es strukturiert alle SCM-Aktivitäten in sechs Domänen und vier Prozessebenen (L1 bis L4) und stellt branchenspezifische Benchmarks bereit. Im EA-Kontext dient SCOR als Bewertungsraster für die Anwendungsabdeckung: Welche Anwendung unterstützt welchen SCOR-Prozess auf welchem Reifegrad?</w:t>
      </w:r>
    </w:p>
    <w:p w14:paraId="503B4460" w14:textId="77777777" w:rsidR="007016CA" w:rsidRDefault="00000000">
      <w:pPr>
        <w:pStyle w:val="berschrift3"/>
      </w:pPr>
      <w:r>
        <w:rPr>
          <w:color w:val="1F497D"/>
        </w:rPr>
        <w:t>SCOR-Domänen und Anwendungsabdeckung ASMPT</w:t>
      </w:r>
    </w:p>
    <w:tbl>
      <w:tblPr>
        <w:tblStyle w:val="af1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200"/>
        <w:gridCol w:w="2200"/>
        <w:gridCol w:w="1300"/>
        <w:gridCol w:w="1926"/>
      </w:tblGrid>
      <w:tr w:rsidR="007016CA" w14:paraId="503B4466" w14:textId="77777777">
        <w:trPr>
          <w:tblHeader/>
        </w:trPr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61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SCOR-Domäne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62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Aktuelle Hauptanwendung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63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Zielanwendung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-Be)</w:t>
            </w:r>
          </w:p>
        </w:tc>
        <w:tc>
          <w:tcPr>
            <w:tcW w:w="1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64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Reifegradlücke</w:t>
            </w:r>
          </w:p>
        </w:tc>
        <w:tc>
          <w:tcPr>
            <w:tcW w:w="19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65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Migrationshorizont</w:t>
            </w:r>
          </w:p>
        </w:tc>
      </w:tr>
      <w:tr w:rsidR="007016CA" w14:paraId="503B446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67" w14:textId="77777777" w:rsidR="007016CA" w:rsidRDefault="00000000">
            <w:r>
              <w:rPr>
                <w:sz w:val="20"/>
                <w:szCs w:val="20"/>
              </w:rPr>
              <w:t>PLAN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68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 xml:space="preserve">SAP APO / </w:t>
            </w:r>
            <w:proofErr w:type="spellStart"/>
            <w:r w:rsidRPr="00015811">
              <w:rPr>
                <w:sz w:val="20"/>
                <w:szCs w:val="20"/>
                <w:lang w:val="en-US"/>
              </w:rPr>
              <w:t>manuelle</w:t>
            </w:r>
            <w:proofErr w:type="spellEnd"/>
            <w:r w:rsidRPr="00015811">
              <w:rPr>
                <w:sz w:val="20"/>
                <w:szCs w:val="20"/>
                <w:lang w:val="en-US"/>
              </w:rPr>
              <w:t xml:space="preserve"> S&amp;OP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69" w14:textId="77777777" w:rsidR="007016CA" w:rsidRDefault="00000000">
            <w:r>
              <w:rPr>
                <w:sz w:val="20"/>
                <w:szCs w:val="20"/>
              </w:rPr>
              <w:t>SAP IBP (Cloud)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6A" w14:textId="77777777" w:rsidR="007016CA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L1 → L3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6B" w14:textId="77777777" w:rsidR="007016CA" w:rsidRDefault="00000000">
            <w:r>
              <w:rPr>
                <w:sz w:val="20"/>
                <w:szCs w:val="20"/>
              </w:rPr>
              <w:t>18–36 Monate</w:t>
            </w:r>
          </w:p>
        </w:tc>
      </w:tr>
      <w:tr w:rsidR="007016CA" w14:paraId="503B4472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6D" w14:textId="77777777" w:rsidR="007016CA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6E" w14:textId="77777777" w:rsidR="007016CA" w:rsidRDefault="00000000">
            <w:r>
              <w:rPr>
                <w:sz w:val="20"/>
                <w:szCs w:val="20"/>
              </w:rPr>
              <w:t xml:space="preserve">SAP ERP MM / </w:t>
            </w:r>
            <w:proofErr w:type="spellStart"/>
            <w:r>
              <w:rPr>
                <w:sz w:val="20"/>
                <w:szCs w:val="20"/>
              </w:rPr>
              <w:t>Jaggaer</w:t>
            </w:r>
            <w:proofErr w:type="spellEnd"/>
            <w:r>
              <w:rPr>
                <w:sz w:val="20"/>
                <w:szCs w:val="20"/>
              </w:rPr>
              <w:t xml:space="preserve"> (laufend)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6F" w14:textId="77777777" w:rsidR="007016CA" w:rsidRDefault="00000000">
            <w:proofErr w:type="spellStart"/>
            <w:r>
              <w:rPr>
                <w:sz w:val="20"/>
                <w:szCs w:val="20"/>
              </w:rPr>
              <w:t>Jaggaer</w:t>
            </w:r>
            <w:proofErr w:type="spellEnd"/>
            <w:r>
              <w:rPr>
                <w:sz w:val="20"/>
                <w:szCs w:val="20"/>
              </w:rPr>
              <w:t xml:space="preserve"> global / SAP Ariba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0" w14:textId="77777777" w:rsidR="007016CA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L2 → L3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1" w14:textId="77777777" w:rsidR="007016CA" w:rsidRDefault="00000000">
            <w:r>
              <w:rPr>
                <w:sz w:val="20"/>
                <w:szCs w:val="20"/>
              </w:rPr>
              <w:t>12–24 Monate</w:t>
            </w:r>
          </w:p>
        </w:tc>
      </w:tr>
      <w:tr w:rsidR="007016CA" w14:paraId="503B447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3" w14:textId="77777777" w:rsidR="007016CA" w:rsidRDefault="00000000">
            <w:r>
              <w:rPr>
                <w:sz w:val="20"/>
                <w:szCs w:val="20"/>
              </w:rPr>
              <w:t>MAKE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4" w14:textId="77777777" w:rsidR="007016CA" w:rsidRDefault="00000000">
            <w:r>
              <w:rPr>
                <w:sz w:val="20"/>
                <w:szCs w:val="20"/>
              </w:rPr>
              <w:t>MES/Uptime + Siemens SIMATIC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5" w14:textId="77777777" w:rsidR="007016CA" w:rsidRDefault="00000000">
            <w:r>
              <w:rPr>
                <w:sz w:val="20"/>
                <w:szCs w:val="20"/>
              </w:rPr>
              <w:t>SAP Digital Manufacturing Cloud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6" w14:textId="77777777" w:rsidR="007016CA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L1 → L3+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7" w14:textId="77777777" w:rsidR="007016CA" w:rsidRDefault="00000000">
            <w:r>
              <w:rPr>
                <w:sz w:val="20"/>
                <w:szCs w:val="20"/>
              </w:rPr>
              <w:t>24–48 Monate</w:t>
            </w:r>
          </w:p>
        </w:tc>
      </w:tr>
      <w:tr w:rsidR="007016CA" w14:paraId="503B447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9" w14:textId="77777777" w:rsidR="007016CA" w:rsidRDefault="00000000">
            <w:r>
              <w:rPr>
                <w:sz w:val="20"/>
                <w:szCs w:val="20"/>
              </w:rPr>
              <w:t>DELIVER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A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>SAP ERP SD / Jonas VMI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B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>SAP S/4HANA Sales / Jaggaer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C" w14:textId="77777777" w:rsidR="007016CA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L2 → L3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D" w14:textId="77777777" w:rsidR="007016CA" w:rsidRDefault="00000000">
            <w:r>
              <w:rPr>
                <w:sz w:val="20"/>
                <w:szCs w:val="20"/>
              </w:rPr>
              <w:t>24–36 Monate</w:t>
            </w:r>
          </w:p>
        </w:tc>
      </w:tr>
      <w:tr w:rsidR="007016CA" w14:paraId="503B448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7F" w14:textId="77777777" w:rsidR="007016CA" w:rsidRDefault="00000000">
            <w:r>
              <w:rPr>
                <w:sz w:val="20"/>
                <w:szCs w:val="20"/>
              </w:rPr>
              <w:t>RETURN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0" w14:textId="77777777" w:rsidR="007016CA" w:rsidRDefault="00000000">
            <w:r>
              <w:rPr>
                <w:sz w:val="20"/>
                <w:szCs w:val="20"/>
              </w:rPr>
              <w:t>Manuell / NCR (Qualität)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1" w14:textId="77777777" w:rsidR="007016CA" w:rsidRDefault="00000000">
            <w:r>
              <w:rPr>
                <w:sz w:val="20"/>
                <w:szCs w:val="20"/>
              </w:rPr>
              <w:t>SAP QM / Service Cloud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2" w14:textId="77777777" w:rsidR="007016CA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L1 → L2+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3" w14:textId="77777777" w:rsidR="007016CA" w:rsidRDefault="00000000">
            <w:r>
              <w:rPr>
                <w:sz w:val="20"/>
                <w:szCs w:val="20"/>
              </w:rPr>
              <w:t>18–30 Monate</w:t>
            </w:r>
          </w:p>
        </w:tc>
      </w:tr>
      <w:tr w:rsidR="007016CA" w14:paraId="503B448A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5" w14:textId="77777777" w:rsidR="007016CA" w:rsidRDefault="00000000">
            <w:r>
              <w:rPr>
                <w:sz w:val="20"/>
                <w:szCs w:val="20"/>
              </w:rPr>
              <w:t>ENABLE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6" w14:textId="77777777" w:rsidR="007016CA" w:rsidRDefault="00000000">
            <w:proofErr w:type="gramStart"/>
            <w:r>
              <w:rPr>
                <w:sz w:val="20"/>
                <w:szCs w:val="20"/>
              </w:rPr>
              <w:t>HCL Domino</w:t>
            </w:r>
            <w:proofErr w:type="gramEnd"/>
            <w:r>
              <w:rPr>
                <w:sz w:val="20"/>
                <w:szCs w:val="20"/>
              </w:rPr>
              <w:t xml:space="preserve"> / Microsoft 365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7" w14:textId="77777777" w:rsidR="007016CA" w:rsidRDefault="00000000">
            <w:r>
              <w:rPr>
                <w:sz w:val="20"/>
                <w:szCs w:val="20"/>
              </w:rPr>
              <w:t xml:space="preserve">Power 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  <w:r>
              <w:rPr>
                <w:sz w:val="20"/>
                <w:szCs w:val="20"/>
              </w:rPr>
              <w:t xml:space="preserve"> + SharePoint Online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8" w14:textId="77777777" w:rsidR="007016CA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L2 → L3</w:t>
            </w:r>
          </w:p>
        </w:tc>
        <w:tc>
          <w:tcPr>
            <w:tcW w:w="1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89" w14:textId="77777777" w:rsidR="007016CA" w:rsidRDefault="00000000">
            <w:r>
              <w:rPr>
                <w:sz w:val="20"/>
                <w:szCs w:val="20"/>
              </w:rPr>
              <w:t>12–24 Monate</w:t>
            </w:r>
          </w:p>
        </w:tc>
      </w:tr>
    </w:tbl>
    <w:p w14:paraId="503B448B" w14:textId="77777777" w:rsidR="007016CA" w:rsidRDefault="007016CA">
      <w:pPr>
        <w:spacing w:before="60" w:after="80"/>
        <w:jc w:val="both"/>
      </w:pPr>
    </w:p>
    <w:p w14:paraId="503B448C" w14:textId="77777777" w:rsidR="007016CA" w:rsidRDefault="00000000">
      <w:pPr>
        <w:pStyle w:val="berschrift3"/>
      </w:pPr>
      <w:r>
        <w:rPr>
          <w:color w:val="1F497D"/>
        </w:rPr>
        <w:t>Operatives Vorgehen (5 Schritte)</w:t>
      </w:r>
    </w:p>
    <w:p w14:paraId="503B448D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Alle 137 Anwendungen auf die SCOR×TOGAF-Matrix abbilden</w:t>
      </w:r>
    </w:p>
    <w:p w14:paraId="503B448E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Aktuellen Reifegrad (L1–L4) je Anwendung und Domäne durch SCM-Experten bewerten</w:t>
      </w:r>
    </w:p>
    <w:p w14:paraId="503B448F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Anwendungsabdeckungslücken je Domäne identifizieren</w:t>
      </w:r>
    </w:p>
    <w:p w14:paraId="503B4490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Vier Standorte vergleichen: Welche Anwendungen fehlen oder weichen ab?</w:t>
      </w:r>
    </w:p>
    <w:p w14:paraId="503B4491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Zielanwendungen definieren, um Zielreifegrad L3+ in allen Domänen zu erreichen</w:t>
      </w:r>
    </w:p>
    <w:p w14:paraId="503B4492" w14:textId="77777777" w:rsidR="007016CA" w:rsidRDefault="007016CA">
      <w:pPr>
        <w:spacing w:before="60" w:after="80"/>
        <w:jc w:val="both"/>
      </w:pPr>
    </w:p>
    <w:tbl>
      <w:tblPr>
        <w:tblStyle w:val="af2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495" w14:textId="77777777">
        <w:tc>
          <w:tcPr>
            <w:tcW w:w="9026" w:type="dxa"/>
            <w:tcBorders>
              <w:top w:val="single" w:sz="4" w:space="0" w:color="993556"/>
              <w:left w:val="single" w:sz="12" w:space="0" w:color="993556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493" w14:textId="77777777" w:rsidR="007016CA" w:rsidRDefault="00000000">
            <w:pPr>
              <w:spacing w:after="60"/>
            </w:pPr>
            <w:r>
              <w:rPr>
                <w:b/>
                <w:bCs/>
                <w:color w:val="993556"/>
                <w:sz w:val="20"/>
                <w:szCs w:val="20"/>
              </w:rPr>
              <w:t>Anwendungskontext ASMPT:</w:t>
            </w:r>
          </w:p>
          <w:p w14:paraId="503B4494" w14:textId="77777777" w:rsidR="007016CA" w:rsidRDefault="00000000">
            <w:pPr>
              <w:jc w:val="both"/>
            </w:pPr>
            <w:r>
              <w:rPr>
                <w:sz w:val="20"/>
                <w:szCs w:val="20"/>
              </w:rPr>
              <w:t xml:space="preserve">SCOR ist das Rückgrat des EA-Artefakts. SCM-Mitarbeiter sind die einzigen, die den aktuellen Prozessreifegrad L1–L4 je Domäne zuverlässig bewerten können. Empfehlung: Systematische </w:t>
            </w:r>
            <w:r>
              <w:rPr>
                <w:sz w:val="20"/>
                <w:szCs w:val="20"/>
              </w:rPr>
              <w:lastRenderedPageBreak/>
              <w:t>SCOR-L2-Bewertungsworkshops für alle 6 Domänen, aufgeteilt nach Standort, als Grundlage der Gap-Analyse.</w:t>
            </w:r>
          </w:p>
        </w:tc>
      </w:tr>
    </w:tbl>
    <w:p w14:paraId="503B4496" w14:textId="77777777" w:rsidR="007016CA" w:rsidRDefault="007016CA">
      <w:pPr>
        <w:spacing w:before="60" w:after="80"/>
        <w:jc w:val="both"/>
      </w:pPr>
    </w:p>
    <w:p w14:paraId="503B4497" w14:textId="77777777" w:rsidR="007016CA" w:rsidRPr="00015811" w:rsidRDefault="00000000">
      <w:pPr>
        <w:pStyle w:val="berschrift2"/>
        <w:rPr>
          <w:lang w:val="en-US"/>
        </w:rPr>
      </w:pPr>
      <w:r w:rsidRPr="00015811">
        <w:rPr>
          <w:lang w:val="en-US"/>
        </w:rPr>
        <w:t>5.2 SCM Capability Maturity Model (S(CM)²)</w:t>
      </w:r>
    </w:p>
    <w:p w14:paraId="503B4498" w14:textId="77777777" w:rsidR="007016CA" w:rsidRDefault="00000000">
      <w:pPr>
        <w:pBdr>
          <w:top w:val="single" w:sz="4" w:space="0" w:color="993556"/>
          <w:left w:val="single" w:sz="4" w:space="0" w:color="993556"/>
          <w:bottom w:val="single" w:sz="4" w:space="0" w:color="993556"/>
          <w:right w:val="single" w:sz="4" w:space="0" w:color="993556"/>
        </w:pBdr>
        <w:shd w:val="clear" w:color="auto" w:fill="993556"/>
        <w:spacing w:before="200" w:after="100"/>
        <w:ind w:left="120" w:right="120"/>
      </w:pPr>
      <w:r>
        <w:rPr>
          <w:b/>
          <w:bCs/>
          <w:color w:val="FFFFFF"/>
          <w:sz w:val="20"/>
          <w:szCs w:val="20"/>
        </w:rPr>
        <w:t xml:space="preserve">SCM-Zugänglichkeit: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Analytische Tiefe: </w:t>
      </w:r>
      <w:proofErr w:type="gramStart"/>
      <w:r>
        <w:rPr>
          <w:b/>
          <w:bCs/>
          <w:color w:val="FFFFFF"/>
          <w:sz w:val="20"/>
          <w:szCs w:val="20"/>
        </w:rPr>
        <w:t>Hoch  |</w:t>
      </w:r>
      <w:proofErr w:type="gramEnd"/>
      <w:r>
        <w:rPr>
          <w:b/>
          <w:bCs/>
          <w:color w:val="FFFFFF"/>
          <w:sz w:val="20"/>
          <w:szCs w:val="20"/>
        </w:rPr>
        <w:t xml:space="preserve">  SCOR-Relevanz: Hoch</w:t>
      </w:r>
    </w:p>
    <w:p w14:paraId="503B4499" w14:textId="77777777" w:rsidR="007016CA" w:rsidRDefault="007016CA">
      <w:pPr>
        <w:spacing w:before="60" w:after="80"/>
        <w:jc w:val="both"/>
      </w:pPr>
    </w:p>
    <w:p w14:paraId="503B449A" w14:textId="77777777" w:rsidR="007016CA" w:rsidRDefault="00000000">
      <w:pPr>
        <w:pStyle w:val="berschrift3"/>
      </w:pPr>
      <w:r>
        <w:rPr>
          <w:color w:val="1F497D"/>
        </w:rPr>
        <w:t>Beschreibung</w:t>
      </w:r>
    </w:p>
    <w:p w14:paraId="503B449B" w14:textId="77777777" w:rsidR="007016CA" w:rsidRDefault="00000000">
      <w:pPr>
        <w:spacing w:before="60" w:after="80"/>
        <w:jc w:val="both"/>
      </w:pPr>
      <w:r>
        <w:t xml:space="preserve">Das Supply Chain </w:t>
      </w:r>
      <w:proofErr w:type="spellStart"/>
      <w:r>
        <w:t>Capability</w:t>
      </w:r>
      <w:proofErr w:type="spellEnd"/>
      <w:r>
        <w:t xml:space="preserve"> </w:t>
      </w:r>
      <w:proofErr w:type="spellStart"/>
      <w:r>
        <w:t>Maturity</w:t>
      </w:r>
      <w:proofErr w:type="spellEnd"/>
      <w:r>
        <w:t xml:space="preserve"> Model (S(CM)²) ist eine Anpassung des CMMI an den SCM-Bereich. Es bewertet die Reife von SCM-Fähigkeiten auf fünf Niveaus und identifiziert, welche Fähigkeiten zusätzliche IT-Unterstützung benötigen. Es eignet sich besonders dazu, IT-Investitionen in der Roadmap mit der angestrebten Prozessreife zu verknüpfen.</w:t>
      </w:r>
    </w:p>
    <w:p w14:paraId="503B449C" w14:textId="77777777" w:rsidR="007016CA" w:rsidRDefault="00000000">
      <w:pPr>
        <w:pStyle w:val="berschrift3"/>
      </w:pPr>
      <w:r>
        <w:rPr>
          <w:color w:val="1F497D"/>
        </w:rPr>
        <w:t>Reifegradniveaus</w:t>
      </w:r>
    </w:p>
    <w:tbl>
      <w:tblPr>
        <w:tblStyle w:val="af3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800"/>
        <w:gridCol w:w="2600"/>
        <w:gridCol w:w="3826"/>
      </w:tblGrid>
      <w:tr w:rsidR="007016CA" w14:paraId="503B44A1" w14:textId="77777777">
        <w:trPr>
          <w:tblHeader/>
        </w:trPr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9D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Niveau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9E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Bezeichnung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9F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38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A0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Unterstützung durch</w:t>
            </w:r>
          </w:p>
        </w:tc>
      </w:tr>
      <w:tr w:rsidR="007016CA" w14:paraId="503B44A6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2" w14:textId="77777777" w:rsidR="007016C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3" w14:textId="77777777" w:rsidR="007016CA" w:rsidRDefault="00000000">
            <w:r>
              <w:rPr>
                <w:sz w:val="20"/>
                <w:szCs w:val="20"/>
              </w:rPr>
              <w:t>Initial (Ad hoc)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4" w14:textId="77777777" w:rsidR="007016CA" w:rsidRDefault="00000000">
            <w:r>
              <w:rPr>
                <w:sz w:val="20"/>
                <w:szCs w:val="20"/>
              </w:rPr>
              <w:t>Prozesse unstrukturiert, reaktiv, abhängig von Einzelpersonen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5" w14:textId="77777777" w:rsidR="007016CA" w:rsidRDefault="00000000">
            <w:r>
              <w:rPr>
                <w:sz w:val="20"/>
                <w:szCs w:val="20"/>
              </w:rPr>
              <w:t>Manuelle Bearbeitung, Tabellen</w:t>
            </w:r>
          </w:p>
        </w:tc>
      </w:tr>
      <w:tr w:rsidR="007016CA" w14:paraId="503B44AB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7" w14:textId="77777777" w:rsidR="007016C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8" w14:textId="77777777" w:rsidR="007016CA" w:rsidRDefault="00000000">
            <w:r>
              <w:rPr>
                <w:sz w:val="20"/>
                <w:szCs w:val="20"/>
              </w:rPr>
              <w:t>Verwaltet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9" w14:textId="77777777" w:rsidR="007016CA" w:rsidRDefault="00000000">
            <w:r>
              <w:rPr>
                <w:sz w:val="20"/>
                <w:szCs w:val="20"/>
              </w:rPr>
              <w:t>Grundlegende Prozesse definiert, wiederholbar, aber nicht standardisiert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A" w14:textId="77777777" w:rsidR="007016CA" w:rsidRDefault="00000000">
            <w:r>
              <w:rPr>
                <w:sz w:val="20"/>
                <w:szCs w:val="20"/>
              </w:rPr>
              <w:t>Legacy-ERP-Module</w:t>
            </w:r>
          </w:p>
        </w:tc>
      </w:tr>
      <w:tr w:rsidR="007016CA" w14:paraId="503B44B0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C" w14:textId="77777777" w:rsidR="007016C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D" w14:textId="77777777" w:rsidR="007016CA" w:rsidRDefault="00000000">
            <w:r>
              <w:rPr>
                <w:sz w:val="20"/>
                <w:szCs w:val="20"/>
              </w:rPr>
              <w:t>Definiert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E" w14:textId="77777777" w:rsidR="007016CA" w:rsidRDefault="00000000">
            <w:r>
              <w:rPr>
                <w:sz w:val="20"/>
                <w:szCs w:val="20"/>
              </w:rPr>
              <w:t>Standardisierte, dokumentierte Prozesse im gesamten Unternehmen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AF" w14:textId="77777777" w:rsidR="007016CA" w:rsidRDefault="00000000">
            <w:r>
              <w:rPr>
                <w:sz w:val="20"/>
                <w:szCs w:val="20"/>
              </w:rPr>
              <w:t>Integriertes ERP + SCM-Suite</w:t>
            </w:r>
          </w:p>
        </w:tc>
      </w:tr>
      <w:tr w:rsidR="007016CA" w14:paraId="503B44B5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B1" w14:textId="77777777" w:rsidR="007016C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B2" w14:textId="77777777" w:rsidR="007016CA" w:rsidRDefault="00000000">
            <w:r>
              <w:rPr>
                <w:sz w:val="20"/>
                <w:szCs w:val="20"/>
              </w:rPr>
              <w:t>Quantitativ verwaltet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B3" w14:textId="77777777" w:rsidR="007016CA" w:rsidRDefault="00000000">
            <w:r>
              <w:rPr>
                <w:sz w:val="20"/>
                <w:szCs w:val="20"/>
              </w:rPr>
              <w:t>Prozesse werden gemessen und kontrolliert, KPI-gesteuert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B4" w14:textId="77777777" w:rsidR="007016CA" w:rsidRDefault="00000000">
            <w:r>
              <w:rPr>
                <w:sz w:val="20"/>
                <w:szCs w:val="20"/>
              </w:rPr>
              <w:t>Analytics-Plattform + SAP IBP</w:t>
            </w:r>
          </w:p>
        </w:tc>
      </w:tr>
      <w:tr w:rsidR="007016CA" w14:paraId="503B44BA" w14:textId="77777777"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B6" w14:textId="77777777" w:rsidR="007016C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B7" w14:textId="77777777" w:rsidR="007016CA" w:rsidRDefault="00000000">
            <w:r>
              <w:rPr>
                <w:sz w:val="20"/>
                <w:szCs w:val="20"/>
              </w:rPr>
              <w:t>Optimierend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B8" w14:textId="77777777" w:rsidR="007016CA" w:rsidRDefault="00000000">
            <w:r>
              <w:rPr>
                <w:sz w:val="20"/>
                <w:szCs w:val="20"/>
              </w:rPr>
              <w:t>Kontinuierliche Verbesserung, prädiktive Analysen, KI-gestützte Optimierung</w:t>
            </w:r>
          </w:p>
        </w:tc>
        <w:tc>
          <w:tcPr>
            <w:tcW w:w="3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B9" w14:textId="77777777" w:rsidR="007016CA" w:rsidRDefault="00000000">
            <w:r>
              <w:rPr>
                <w:sz w:val="20"/>
                <w:szCs w:val="20"/>
              </w:rPr>
              <w:t>KI-Agenten, Digital Twin</w:t>
            </w:r>
          </w:p>
        </w:tc>
      </w:tr>
    </w:tbl>
    <w:p w14:paraId="503B44BB" w14:textId="77777777" w:rsidR="007016CA" w:rsidRDefault="007016CA">
      <w:pPr>
        <w:spacing w:before="60" w:after="80"/>
        <w:jc w:val="both"/>
      </w:pPr>
    </w:p>
    <w:p w14:paraId="503B44BC" w14:textId="77777777" w:rsidR="007016CA" w:rsidRDefault="00000000">
      <w:pPr>
        <w:pStyle w:val="berschrift3"/>
      </w:pPr>
      <w:r>
        <w:rPr>
          <w:color w:val="1F497D"/>
        </w:rPr>
        <w:t>Operatives Vorgehen (5 Schritte)</w:t>
      </w:r>
    </w:p>
    <w:p w14:paraId="503B44BD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Kritische SCM-Fähigkeiten zur Bewertung auswählen</w:t>
      </w:r>
    </w:p>
    <w:p w14:paraId="503B44BE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Bewertungsgruppe je SCOR-Domäne bilden</w:t>
      </w:r>
    </w:p>
    <w:p w14:paraId="503B44BF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Selbstbewertungen mit S(CM)²-Fragebogen durchführen</w:t>
      </w:r>
    </w:p>
    <w:p w14:paraId="503B44C0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Aktuellen und angestrebten Reifegrad je Fähigkeit berechnen</w:t>
      </w:r>
    </w:p>
    <w:p w14:paraId="503B44C1" w14:textId="77777777" w:rsidR="007016C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rPr>
          <w:color w:val="000000"/>
        </w:rPr>
        <w:t>Anwendungsroadmap</w:t>
      </w:r>
      <w:proofErr w:type="spellEnd"/>
      <w:r>
        <w:rPr>
          <w:color w:val="000000"/>
        </w:rPr>
        <w:t xml:space="preserve"> an der Reifegradentwicklung ausrichten</w:t>
      </w:r>
    </w:p>
    <w:p w14:paraId="503B44C2" w14:textId="77777777" w:rsidR="007016CA" w:rsidRDefault="007016CA">
      <w:pPr>
        <w:spacing w:before="60" w:after="80"/>
        <w:jc w:val="both"/>
      </w:pPr>
    </w:p>
    <w:tbl>
      <w:tblPr>
        <w:tblStyle w:val="af4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016CA" w14:paraId="503B44C5" w14:textId="77777777">
        <w:tc>
          <w:tcPr>
            <w:tcW w:w="9026" w:type="dxa"/>
            <w:tcBorders>
              <w:top w:val="single" w:sz="4" w:space="0" w:color="993556"/>
              <w:left w:val="single" w:sz="12" w:space="0" w:color="993556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3B44C3" w14:textId="77777777" w:rsidR="007016CA" w:rsidRDefault="00000000">
            <w:pPr>
              <w:spacing w:after="60"/>
            </w:pPr>
            <w:r>
              <w:rPr>
                <w:b/>
                <w:bCs/>
                <w:color w:val="993556"/>
                <w:sz w:val="20"/>
                <w:szCs w:val="20"/>
              </w:rPr>
              <w:t>Anwendungskontext ASMPT:</w:t>
            </w:r>
          </w:p>
          <w:p w14:paraId="503B44C4" w14:textId="77777777" w:rsidR="007016CA" w:rsidRDefault="00000000">
            <w:pPr>
              <w:jc w:val="both"/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Dieses Modell liefert das stärkste theoretische Argument für die Masterarbeit: Es zeigt, dass die Reifegradentwicklung SCM (L1 → L3+) direkt an die geplanten Applikationsmigrationsphasen 2–4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geknüpft ist. SAP IBP ermöglicht den Übergang von Niveau 2 zu Niveau 4 im PLAN-Bereich; SAP Digital Manufacturing Cloud ist Voraussetzung für Niveau 3+ im MAKE-Bereich.</w:t>
            </w:r>
          </w:p>
        </w:tc>
      </w:tr>
    </w:tbl>
    <w:p w14:paraId="503B44C6" w14:textId="77777777" w:rsidR="007016CA" w:rsidRDefault="007016CA">
      <w:pPr>
        <w:spacing w:before="60" w:after="80"/>
        <w:jc w:val="both"/>
      </w:pPr>
    </w:p>
    <w:p w14:paraId="503B44C7" w14:textId="77777777" w:rsidR="007016CA" w:rsidRDefault="00000000">
      <w:r>
        <w:br w:type="page"/>
      </w:r>
    </w:p>
    <w:p w14:paraId="503B44C8" w14:textId="77777777" w:rsidR="007016CA" w:rsidRDefault="00000000">
      <w:pPr>
        <w:pStyle w:val="berschrift1"/>
      </w:pPr>
      <w:r>
        <w:lastRenderedPageBreak/>
        <w:t>6. Kombinationsempfehlung für ASMPT</w:t>
      </w:r>
    </w:p>
    <w:p w14:paraId="503B44C9" w14:textId="77777777" w:rsidR="007016CA" w:rsidRDefault="00000000">
      <w:pPr>
        <w:spacing w:before="60" w:after="80"/>
        <w:jc w:val="both"/>
      </w:pPr>
      <w:r>
        <w:t>Kein einzelnes Modell deckt alle Anforderungen ab. Die folgende Kombination maximiert sowohl die analytische Tiefe (für Architektur- und IT-Entscheider) als auch die Partizipation der SCM-Mitarbeiter:</w:t>
      </w:r>
    </w:p>
    <w:p w14:paraId="503B44CA" w14:textId="77777777" w:rsidR="007016CA" w:rsidRDefault="007016CA">
      <w:pPr>
        <w:spacing w:before="60" w:after="80"/>
        <w:jc w:val="both"/>
      </w:pPr>
    </w:p>
    <w:tbl>
      <w:tblPr>
        <w:tblStyle w:val="af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2600"/>
        <w:gridCol w:w="2000"/>
        <w:gridCol w:w="2226"/>
      </w:tblGrid>
      <w:tr w:rsidR="007016CA" w14:paraId="503B44CF" w14:textId="77777777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CB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Modell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CC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Funktion in der Kombination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CD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Hauptanwender</w:t>
            </w:r>
          </w:p>
        </w:tc>
        <w:tc>
          <w:tcPr>
            <w:tcW w:w="2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CE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</w:tr>
      <w:tr w:rsidR="007016CA" w14:paraId="503B44D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0" w14:textId="77777777" w:rsidR="007016CA" w:rsidRDefault="00000000">
            <w:r>
              <w:rPr>
                <w:sz w:val="20"/>
                <w:szCs w:val="20"/>
              </w:rPr>
              <w:t xml:space="preserve">SCOR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 Reference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1" w14:textId="77777777" w:rsidR="007016CA" w:rsidRDefault="00000000">
            <w:r>
              <w:rPr>
                <w:sz w:val="20"/>
                <w:szCs w:val="20"/>
              </w:rPr>
              <w:t>Bewertungsraster: Anwendung × Prozessdomäne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2" w14:textId="77777777" w:rsidR="007016CA" w:rsidRDefault="00000000">
            <w:r>
              <w:rPr>
                <w:sz w:val="20"/>
                <w:szCs w:val="20"/>
              </w:rPr>
              <w:t>SCM-Teams (alle Standorte)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3" w14:textId="77777777" w:rsidR="007016CA" w:rsidRDefault="00000000">
            <w:r>
              <w:rPr>
                <w:sz w:val="20"/>
                <w:szCs w:val="20"/>
              </w:rPr>
              <w:t>Kontinuierlich</w:t>
            </w:r>
          </w:p>
        </w:tc>
      </w:tr>
      <w:tr w:rsidR="007016CA" w14:paraId="503B44D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5" w14:textId="77777777" w:rsidR="007016CA" w:rsidRDefault="00000000">
            <w:r>
              <w:rPr>
                <w:sz w:val="20"/>
                <w:szCs w:val="20"/>
              </w:rPr>
              <w:t xml:space="preserve">PACE </w:t>
            </w:r>
            <w:proofErr w:type="spellStart"/>
            <w:r>
              <w:rPr>
                <w:sz w:val="20"/>
                <w:szCs w:val="20"/>
              </w:rPr>
              <w:t>Layered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6" w14:textId="77777777" w:rsidR="007016CA" w:rsidRDefault="00000000">
            <w:r>
              <w:rPr>
                <w:sz w:val="20"/>
                <w:szCs w:val="20"/>
              </w:rPr>
              <w:t xml:space="preserve">Strategische Klassifikation: </w:t>
            </w:r>
            <w:proofErr w:type="spellStart"/>
            <w:r>
              <w:rPr>
                <w:sz w:val="20"/>
                <w:szCs w:val="20"/>
              </w:rPr>
              <w:t>SoR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SoD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SoI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7" w14:textId="77777777" w:rsidR="007016CA" w:rsidRDefault="00000000">
            <w:r>
              <w:rPr>
                <w:sz w:val="20"/>
                <w:szCs w:val="20"/>
              </w:rPr>
              <w:t>Alle Stakeholder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8" w14:textId="77777777" w:rsidR="007016CA" w:rsidRDefault="00000000">
            <w:r>
              <w:rPr>
                <w:sz w:val="20"/>
                <w:szCs w:val="20"/>
              </w:rPr>
              <w:t>Einmalig + jährlich</w:t>
            </w:r>
          </w:p>
        </w:tc>
      </w:tr>
      <w:tr w:rsidR="007016CA" w14:paraId="503B44D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A" w14:textId="77777777" w:rsidR="007016CA" w:rsidRDefault="00000000">
            <w:r>
              <w:rPr>
                <w:sz w:val="20"/>
                <w:szCs w:val="20"/>
              </w:rPr>
              <w:t>Gartner TIME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B" w14:textId="77777777" w:rsidR="007016CA" w:rsidRDefault="00000000">
            <w:r>
              <w:rPr>
                <w:sz w:val="20"/>
                <w:szCs w:val="20"/>
              </w:rPr>
              <w:t xml:space="preserve">Rationalisierungsentscheidung: Sustain / </w:t>
            </w:r>
            <w:proofErr w:type="spellStart"/>
            <w:r>
              <w:rPr>
                <w:sz w:val="20"/>
                <w:szCs w:val="20"/>
              </w:rPr>
              <w:t>Replace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Invest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Discontinue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C" w14:textId="77777777" w:rsidR="007016CA" w:rsidRDefault="00000000">
            <w:r>
              <w:rPr>
                <w:sz w:val="20"/>
                <w:szCs w:val="20"/>
              </w:rPr>
              <w:t>EA + SCM-Owner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D" w14:textId="77777777" w:rsidR="007016CA" w:rsidRDefault="00000000">
            <w:r>
              <w:rPr>
                <w:sz w:val="20"/>
                <w:szCs w:val="20"/>
              </w:rPr>
              <w:t>Jährlich</w:t>
            </w:r>
          </w:p>
        </w:tc>
      </w:tr>
      <w:tr w:rsidR="007016CA" w14:paraId="503B44E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DF" w14:textId="77777777" w:rsidR="007016CA" w:rsidRDefault="00000000">
            <w:r>
              <w:rPr>
                <w:sz w:val="20"/>
                <w:szCs w:val="20"/>
              </w:rPr>
              <w:t>Wert-Komplexitäts-Matrix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0" w14:textId="77777777" w:rsidR="007016CA" w:rsidRDefault="00000000">
            <w:r>
              <w:rPr>
                <w:sz w:val="20"/>
                <w:szCs w:val="20"/>
              </w:rPr>
              <w:t>Sequenzierung der Roadmap-Phasen 2025–2030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1" w14:textId="77777777" w:rsidR="007016CA" w:rsidRDefault="00000000">
            <w:r>
              <w:rPr>
                <w:sz w:val="20"/>
                <w:szCs w:val="20"/>
              </w:rPr>
              <w:t>SCM + IT + Management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2" w14:textId="77777777" w:rsidR="007016CA" w:rsidRDefault="00000000">
            <w:r>
              <w:rPr>
                <w:sz w:val="20"/>
                <w:szCs w:val="20"/>
              </w:rPr>
              <w:t>Pro Migrationsphase</w:t>
            </w:r>
          </w:p>
        </w:tc>
      </w:tr>
      <w:tr w:rsidR="007016CA" w14:paraId="503B44E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4" w14:textId="77777777" w:rsidR="007016CA" w:rsidRDefault="00000000">
            <w:r>
              <w:rPr>
                <w:sz w:val="20"/>
                <w:szCs w:val="20"/>
              </w:rPr>
              <w:t>TCO/TVO-Analyse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5" w14:textId="77777777" w:rsidR="007016CA" w:rsidRDefault="00000000">
            <w:r>
              <w:rPr>
                <w:sz w:val="20"/>
                <w:szCs w:val="20"/>
              </w:rPr>
              <w:t>Finanzieller Business Case für Executive-Entscheidungen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6" w14:textId="77777777" w:rsidR="007016CA" w:rsidRDefault="00000000">
            <w:r>
              <w:rPr>
                <w:sz w:val="20"/>
                <w:szCs w:val="20"/>
              </w:rPr>
              <w:t>CFO + CIO + EA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7" w14:textId="77777777" w:rsidR="007016CA" w:rsidRDefault="00000000">
            <w:r>
              <w:rPr>
                <w:sz w:val="20"/>
                <w:szCs w:val="20"/>
              </w:rPr>
              <w:t>Pro Großprojekt</w:t>
            </w:r>
          </w:p>
        </w:tc>
      </w:tr>
      <w:tr w:rsidR="007016CA" w14:paraId="503B44E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9" w14:textId="77777777" w:rsidR="007016CA" w:rsidRDefault="00000000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Readiness</w:t>
            </w:r>
            <w:proofErr w:type="spellEnd"/>
            <w:r>
              <w:rPr>
                <w:sz w:val="20"/>
                <w:szCs w:val="20"/>
              </w:rPr>
              <w:t xml:space="preserve"> Assessment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A" w14:textId="77777777" w:rsidR="007016CA" w:rsidRDefault="00000000">
            <w:r>
              <w:rPr>
                <w:sz w:val="20"/>
                <w:szCs w:val="20"/>
              </w:rPr>
              <w:t>Technische Migrationsvorbereitung nach TOGAF-Layern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B" w14:textId="77777777" w:rsidR="007016CA" w:rsidRDefault="00000000">
            <w:r>
              <w:rPr>
                <w:sz w:val="20"/>
                <w:szCs w:val="20"/>
              </w:rPr>
              <w:t>IT-Architekten + SCM-Prozessexperten</w:t>
            </w:r>
          </w:p>
        </w:tc>
        <w:tc>
          <w:tcPr>
            <w:tcW w:w="2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EC" w14:textId="77777777" w:rsidR="007016CA" w:rsidRDefault="00000000">
            <w:r>
              <w:rPr>
                <w:sz w:val="20"/>
                <w:szCs w:val="20"/>
              </w:rPr>
              <w:t>Vor jeder Phase</w:t>
            </w:r>
          </w:p>
        </w:tc>
      </w:tr>
    </w:tbl>
    <w:p w14:paraId="503B44EE" w14:textId="77777777" w:rsidR="007016CA" w:rsidRDefault="007016CA">
      <w:pPr>
        <w:spacing w:before="60" w:after="80"/>
        <w:jc w:val="both"/>
      </w:pPr>
    </w:p>
    <w:p w14:paraId="503B44EF" w14:textId="77777777" w:rsidR="007016CA" w:rsidRDefault="00000000">
      <w:pPr>
        <w:pStyle w:val="berschrift2"/>
      </w:pPr>
      <w:r>
        <w:t>Empfohlene Workshop-Sequenz</w:t>
      </w:r>
    </w:p>
    <w:tbl>
      <w:tblPr>
        <w:tblStyle w:val="af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400"/>
        <w:gridCol w:w="800"/>
        <w:gridCol w:w="2000"/>
        <w:gridCol w:w="2626"/>
      </w:tblGrid>
      <w:tr w:rsidR="007016CA" w14:paraId="503B44F5" w14:textId="77777777">
        <w:trPr>
          <w:tblHeader/>
        </w:trPr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F0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Workshop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F1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Modell(e)</w:t>
            </w:r>
          </w:p>
        </w:tc>
        <w:tc>
          <w:tcPr>
            <w:tcW w:w="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F2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Dauer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F3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Teilnehmer</w:t>
            </w:r>
          </w:p>
        </w:tc>
        <w:tc>
          <w:tcPr>
            <w:tcW w:w="26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4F4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Ergebnis</w:t>
            </w:r>
          </w:p>
        </w:tc>
      </w:tr>
      <w:tr w:rsidR="007016CA" w14:paraId="503B44FB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6" w14:textId="77777777" w:rsidR="007016CA" w:rsidRDefault="00000000">
            <w:r>
              <w:rPr>
                <w:sz w:val="20"/>
                <w:szCs w:val="20"/>
              </w:rPr>
              <w:t>WS 1: SCOR-Abdeckungsanalyse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7" w14:textId="77777777" w:rsidR="007016CA" w:rsidRDefault="00000000">
            <w:r>
              <w:rPr>
                <w:sz w:val="20"/>
                <w:szCs w:val="20"/>
              </w:rPr>
              <w:t>SCOR L1/L2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8" w14:textId="77777777" w:rsidR="007016CA" w:rsidRDefault="00000000">
            <w:r>
              <w:rPr>
                <w:sz w:val="20"/>
                <w:szCs w:val="20"/>
              </w:rPr>
              <w:t>1 Tag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9" w14:textId="77777777" w:rsidR="007016CA" w:rsidRDefault="00000000">
            <w:r>
              <w:rPr>
                <w:sz w:val="20"/>
                <w:szCs w:val="20"/>
              </w:rPr>
              <w:t>SCM-Leads aller Standorte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A" w14:textId="77777777" w:rsidR="007016CA" w:rsidRDefault="00000000">
            <w:r>
              <w:rPr>
                <w:sz w:val="20"/>
                <w:szCs w:val="20"/>
              </w:rPr>
              <w:t>Anwendungs-SCOR-Matrix (As-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016CA" w14:paraId="503B450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C" w14:textId="77777777" w:rsidR="007016CA" w:rsidRDefault="00000000">
            <w:r>
              <w:rPr>
                <w:sz w:val="20"/>
                <w:szCs w:val="20"/>
              </w:rPr>
              <w:t>WS 2: Portfolioklassifikation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D" w14:textId="77777777" w:rsidR="007016CA" w:rsidRDefault="00000000">
            <w:r>
              <w:rPr>
                <w:sz w:val="20"/>
                <w:szCs w:val="20"/>
              </w:rPr>
              <w:t>PACE + 4R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E" w14:textId="77777777" w:rsidR="007016CA" w:rsidRDefault="00000000">
            <w:r>
              <w:rPr>
                <w:sz w:val="20"/>
                <w:szCs w:val="20"/>
              </w:rPr>
              <w:t>2 × 2 Std.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4FF" w14:textId="77777777" w:rsidR="007016CA" w:rsidRDefault="00000000">
            <w:r>
              <w:rPr>
                <w:sz w:val="20"/>
                <w:szCs w:val="20"/>
              </w:rPr>
              <w:t>SCM-Teams + IT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0" w14:textId="77777777" w:rsidR="007016CA" w:rsidRDefault="00000000">
            <w:r>
              <w:rPr>
                <w:sz w:val="20"/>
                <w:szCs w:val="20"/>
              </w:rPr>
              <w:t>Klassifiziertes Portfolio + UK-Gap-Analyse</w:t>
            </w:r>
          </w:p>
        </w:tc>
      </w:tr>
      <w:tr w:rsidR="007016CA" w14:paraId="503B450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2" w14:textId="77777777" w:rsidR="007016CA" w:rsidRDefault="00000000">
            <w:r>
              <w:rPr>
                <w:sz w:val="20"/>
                <w:szCs w:val="20"/>
              </w:rPr>
              <w:t>WS 3: Roadmap-Priorisierung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3" w14:textId="77777777" w:rsidR="007016CA" w:rsidRDefault="00000000">
            <w:r>
              <w:rPr>
                <w:sz w:val="20"/>
                <w:szCs w:val="20"/>
              </w:rPr>
              <w:t>Wert-Komplexität + TIME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4" w14:textId="77777777" w:rsidR="007016CA" w:rsidRDefault="00000000">
            <w:r>
              <w:rPr>
                <w:sz w:val="20"/>
                <w:szCs w:val="20"/>
              </w:rPr>
              <w:t>1 Tag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5" w14:textId="77777777" w:rsidR="007016CA" w:rsidRDefault="00000000">
            <w:r>
              <w:rPr>
                <w:sz w:val="20"/>
                <w:szCs w:val="20"/>
              </w:rPr>
              <w:t>SCM + EA + Management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6" w14:textId="77777777" w:rsidR="007016CA" w:rsidRDefault="00000000">
            <w:r>
              <w:rPr>
                <w:sz w:val="20"/>
                <w:szCs w:val="20"/>
              </w:rPr>
              <w:t>Validierte Roadmap 2025–2030</w:t>
            </w:r>
          </w:p>
        </w:tc>
      </w:tr>
      <w:tr w:rsidR="007016CA" w14:paraId="503B450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8" w14:textId="77777777" w:rsidR="007016CA" w:rsidRDefault="00000000">
            <w:r>
              <w:rPr>
                <w:sz w:val="20"/>
                <w:szCs w:val="20"/>
              </w:rPr>
              <w:t>WS 4: Business Case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9" w14:textId="77777777" w:rsidR="007016CA" w:rsidRDefault="00000000">
            <w:r>
              <w:rPr>
                <w:sz w:val="20"/>
                <w:szCs w:val="20"/>
              </w:rPr>
              <w:t>TCO/TVO + BVA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A" w14:textId="77777777" w:rsidR="007016CA" w:rsidRDefault="00000000">
            <w:r>
              <w:rPr>
                <w:sz w:val="20"/>
                <w:szCs w:val="20"/>
              </w:rPr>
              <w:t>2 Tage (Vorbereitung)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B" w14:textId="77777777" w:rsidR="007016CA" w:rsidRDefault="00000000">
            <w:r>
              <w:rPr>
                <w:sz w:val="20"/>
                <w:szCs w:val="20"/>
              </w:rPr>
              <w:t>CFO + CIO + EA + SCM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C" w14:textId="77777777" w:rsidR="007016CA" w:rsidRDefault="00000000">
            <w:r>
              <w:rPr>
                <w:sz w:val="20"/>
                <w:szCs w:val="20"/>
              </w:rPr>
              <w:t>Executive-Präsentation + Investitionsfreigabe</w:t>
            </w:r>
          </w:p>
        </w:tc>
      </w:tr>
      <w:tr w:rsidR="007016CA" w14:paraId="503B4513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E" w14:textId="77777777" w:rsidR="007016CA" w:rsidRDefault="00000000">
            <w:r>
              <w:rPr>
                <w:sz w:val="20"/>
                <w:szCs w:val="20"/>
              </w:rPr>
              <w:t>WS 5: Migrationsbereitschaft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0F" w14:textId="77777777" w:rsidR="007016CA" w:rsidRDefault="00000000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Readiness</w:t>
            </w:r>
            <w:proofErr w:type="spellEnd"/>
            <w:r>
              <w:rPr>
                <w:sz w:val="20"/>
                <w:szCs w:val="20"/>
              </w:rPr>
              <w:t xml:space="preserve"> + 7R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10" w14:textId="77777777" w:rsidR="007016CA" w:rsidRDefault="00000000">
            <w:r>
              <w:rPr>
                <w:sz w:val="20"/>
                <w:szCs w:val="20"/>
              </w:rPr>
              <w:t>1 Tag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11" w14:textId="77777777" w:rsidR="007016CA" w:rsidRDefault="00000000">
            <w:r>
              <w:rPr>
                <w:sz w:val="20"/>
                <w:szCs w:val="20"/>
              </w:rPr>
              <w:t>IT-Architekten + SCM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12" w14:textId="77777777" w:rsidR="007016CA" w:rsidRDefault="00000000">
            <w:r>
              <w:rPr>
                <w:sz w:val="20"/>
                <w:szCs w:val="20"/>
              </w:rPr>
              <w:t>Wave Plan Pilotstandort München</w:t>
            </w:r>
          </w:p>
        </w:tc>
      </w:tr>
    </w:tbl>
    <w:p w14:paraId="503B4514" w14:textId="77777777" w:rsidR="007016CA" w:rsidRDefault="007016CA">
      <w:pPr>
        <w:spacing w:before="60" w:after="80"/>
        <w:jc w:val="both"/>
      </w:pPr>
    </w:p>
    <w:p w14:paraId="503B4515" w14:textId="77777777" w:rsidR="007016CA" w:rsidRDefault="00000000">
      <w:r>
        <w:lastRenderedPageBreak/>
        <w:br w:type="page"/>
      </w:r>
    </w:p>
    <w:p w14:paraId="503B4516" w14:textId="77777777" w:rsidR="007016CA" w:rsidRDefault="00000000">
      <w:pPr>
        <w:pStyle w:val="berschrift1"/>
      </w:pPr>
      <w:r>
        <w:lastRenderedPageBreak/>
        <w:t>7. Zusammenfassung und strategische Schlussfolgerungen</w:t>
      </w:r>
    </w:p>
    <w:p w14:paraId="503B4517" w14:textId="77777777" w:rsidR="007016CA" w:rsidRDefault="00000000">
      <w:pPr>
        <w:pStyle w:val="berschrift2"/>
      </w:pPr>
      <w:r>
        <w:t>7.1 Überblick aller Modelle</w:t>
      </w:r>
    </w:p>
    <w:tbl>
      <w:tblPr>
        <w:tblStyle w:val="af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600"/>
        <w:gridCol w:w="1200"/>
        <w:gridCol w:w="1200"/>
        <w:gridCol w:w="1400"/>
        <w:gridCol w:w="1226"/>
      </w:tblGrid>
      <w:tr w:rsidR="007016CA" w14:paraId="503B451E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518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Modell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519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Kategorie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51A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SCM-Zugängl.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51B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Anal. Tiefe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51C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SCOR-Relevanz</w:t>
            </w:r>
          </w:p>
        </w:tc>
        <w:tc>
          <w:tcPr>
            <w:tcW w:w="12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B451D" w14:textId="77777777" w:rsidR="007016C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Priorität ASMPT</w:t>
            </w:r>
          </w:p>
        </w:tc>
      </w:tr>
      <w:tr w:rsidR="007016CA" w14:paraId="503B4525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1F" w14:textId="77777777" w:rsidR="007016CA" w:rsidRDefault="00000000">
            <w:r>
              <w:rPr>
                <w:sz w:val="20"/>
                <w:szCs w:val="20"/>
              </w:rPr>
              <w:t xml:space="preserve">SCOR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 Reference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0" w14:textId="77777777" w:rsidR="007016CA" w:rsidRDefault="00000000">
            <w:r>
              <w:rPr>
                <w:sz w:val="20"/>
                <w:szCs w:val="20"/>
              </w:rPr>
              <w:t>Reifegradmodell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1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2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3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4" w14:textId="77777777" w:rsidR="007016CA" w:rsidRDefault="00000000">
            <w:r>
              <w:rPr>
                <w:sz w:val="20"/>
                <w:szCs w:val="20"/>
              </w:rPr>
              <w:t>Kern</w:t>
            </w:r>
          </w:p>
        </w:tc>
      </w:tr>
      <w:tr w:rsidR="007016CA" w14:paraId="503B452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6" w14:textId="77777777" w:rsidR="007016CA" w:rsidRDefault="00000000">
            <w:r>
              <w:rPr>
                <w:sz w:val="20"/>
                <w:szCs w:val="20"/>
              </w:rPr>
              <w:t xml:space="preserve">PACE </w:t>
            </w:r>
            <w:proofErr w:type="spellStart"/>
            <w:r>
              <w:rPr>
                <w:sz w:val="20"/>
                <w:szCs w:val="20"/>
              </w:rPr>
              <w:t>Layered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Strategy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7" w14:textId="77777777" w:rsidR="007016CA" w:rsidRDefault="00000000">
            <w:r>
              <w:rPr>
                <w:sz w:val="20"/>
                <w:szCs w:val="20"/>
              </w:rPr>
              <w:t>Rationalisierung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8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9" w14:textId="77777777" w:rsidR="007016CA" w:rsidRDefault="00000000">
            <w:r>
              <w:rPr>
                <w:sz w:val="20"/>
                <w:szCs w:val="20"/>
              </w:rPr>
              <w:t>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A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B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</w:tr>
      <w:tr w:rsidR="007016CA" w14:paraId="503B453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D" w14:textId="77777777" w:rsidR="007016CA" w:rsidRDefault="00000000">
            <w:r>
              <w:rPr>
                <w:sz w:val="20"/>
                <w:szCs w:val="20"/>
              </w:rPr>
              <w:t>CIO Council 4R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E" w14:textId="77777777" w:rsidR="007016CA" w:rsidRDefault="00000000">
            <w:r>
              <w:rPr>
                <w:sz w:val="20"/>
                <w:szCs w:val="20"/>
              </w:rPr>
              <w:t>Rationalisierung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2F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0" w14:textId="77777777" w:rsidR="007016CA" w:rsidRDefault="00000000">
            <w:r>
              <w:rPr>
                <w:sz w:val="20"/>
                <w:szCs w:val="20"/>
              </w:rPr>
              <w:t>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1" w14:textId="77777777" w:rsidR="007016CA" w:rsidRDefault="00000000">
            <w:r>
              <w:rPr>
                <w:sz w:val="20"/>
                <w:szCs w:val="20"/>
              </w:rPr>
              <w:t>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2" w14:textId="77777777" w:rsidR="007016CA" w:rsidRDefault="00000000">
            <w:r>
              <w:rPr>
                <w:sz w:val="20"/>
                <w:szCs w:val="20"/>
              </w:rPr>
              <w:t>Hoch (Workshops)</w:t>
            </w:r>
          </w:p>
        </w:tc>
      </w:tr>
      <w:tr w:rsidR="007016CA" w14:paraId="503B453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4" w14:textId="77777777" w:rsidR="007016CA" w:rsidRDefault="00000000">
            <w:r>
              <w:rPr>
                <w:sz w:val="20"/>
                <w:szCs w:val="20"/>
              </w:rPr>
              <w:t>Wert-Komplexitäts-Matrix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5" w14:textId="77777777" w:rsidR="007016CA" w:rsidRDefault="00000000">
            <w:r>
              <w:rPr>
                <w:sz w:val="20"/>
                <w:szCs w:val="20"/>
              </w:rPr>
              <w:t>Wert / Risiko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6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7" w14:textId="77777777" w:rsidR="007016CA" w:rsidRDefault="00000000">
            <w:r>
              <w:rPr>
                <w:sz w:val="20"/>
                <w:szCs w:val="20"/>
              </w:rPr>
              <w:t>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8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9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</w:tr>
      <w:tr w:rsidR="007016CA" w14:paraId="503B454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B" w14:textId="77777777" w:rsidR="007016CA" w:rsidRDefault="00000000">
            <w:r>
              <w:rPr>
                <w:sz w:val="20"/>
                <w:szCs w:val="20"/>
              </w:rPr>
              <w:t xml:space="preserve">Cloud </w:t>
            </w:r>
            <w:proofErr w:type="spellStart"/>
            <w:r>
              <w:rPr>
                <w:sz w:val="20"/>
                <w:szCs w:val="20"/>
              </w:rPr>
              <w:t>Readiness</w:t>
            </w:r>
            <w:proofErr w:type="spellEnd"/>
            <w:r>
              <w:rPr>
                <w:sz w:val="20"/>
                <w:szCs w:val="20"/>
              </w:rPr>
              <w:t xml:space="preserve"> Assessment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C" w14:textId="77777777" w:rsidR="007016CA" w:rsidRDefault="00000000">
            <w:r>
              <w:rPr>
                <w:sz w:val="20"/>
                <w:szCs w:val="20"/>
              </w:rPr>
              <w:t>Cloud-Migration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D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E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3F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0" w14:textId="77777777" w:rsidR="007016CA" w:rsidRDefault="00000000">
            <w:r>
              <w:rPr>
                <w:sz w:val="20"/>
                <w:szCs w:val="20"/>
              </w:rPr>
              <w:t>Hoch</w:t>
            </w:r>
          </w:p>
        </w:tc>
      </w:tr>
      <w:tr w:rsidR="007016CA" w14:paraId="503B454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2" w14:textId="77777777" w:rsidR="007016CA" w:rsidRDefault="00000000">
            <w:r>
              <w:rPr>
                <w:sz w:val="20"/>
                <w:szCs w:val="20"/>
              </w:rPr>
              <w:t>Gartner TIME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3" w14:textId="77777777" w:rsidR="007016CA" w:rsidRDefault="00000000">
            <w:r>
              <w:rPr>
                <w:sz w:val="20"/>
                <w:szCs w:val="20"/>
              </w:rPr>
              <w:t>Rationalisierung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4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5" w14:textId="77777777" w:rsidR="007016CA" w:rsidRDefault="00000000">
            <w:r>
              <w:rPr>
                <w:sz w:val="20"/>
                <w:szCs w:val="20"/>
              </w:rPr>
              <w:t>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6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7" w14:textId="77777777" w:rsidR="007016CA" w:rsidRDefault="00000000">
            <w:r>
              <w:rPr>
                <w:sz w:val="20"/>
                <w:szCs w:val="20"/>
              </w:rPr>
              <w:t>Mittel (bereits eingesetzt)</w:t>
            </w:r>
          </w:p>
        </w:tc>
      </w:tr>
      <w:tr w:rsidR="007016CA" w14:paraId="503B454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9" w14:textId="77777777" w:rsidR="007016CA" w:rsidRPr="00015811" w:rsidRDefault="00000000">
            <w:pPr>
              <w:rPr>
                <w:lang w:val="en-US"/>
              </w:rPr>
            </w:pPr>
            <w:r w:rsidRPr="00015811">
              <w:rPr>
                <w:sz w:val="20"/>
                <w:szCs w:val="20"/>
                <w:lang w:val="en-US"/>
              </w:rPr>
              <w:t>SCM Capability Maturity (S(CM)²)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A" w14:textId="77777777" w:rsidR="007016CA" w:rsidRDefault="00000000">
            <w:r>
              <w:rPr>
                <w:sz w:val="20"/>
                <w:szCs w:val="20"/>
              </w:rPr>
              <w:t>Reifegradmodell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B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C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D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4E" w14:textId="77777777" w:rsidR="007016CA" w:rsidRDefault="00000000">
            <w:r>
              <w:rPr>
                <w:sz w:val="20"/>
                <w:szCs w:val="20"/>
              </w:rPr>
              <w:t>Mittel</w:t>
            </w:r>
          </w:p>
        </w:tc>
      </w:tr>
      <w:tr w:rsidR="007016CA" w14:paraId="503B455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0" w14:textId="77777777" w:rsidR="007016CA" w:rsidRDefault="00000000">
            <w:r>
              <w:rPr>
                <w:sz w:val="20"/>
                <w:szCs w:val="20"/>
              </w:rPr>
              <w:t>Business Value Assessment (TOGAF)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1" w14:textId="77777777" w:rsidR="007016CA" w:rsidRDefault="00000000">
            <w:r>
              <w:rPr>
                <w:sz w:val="20"/>
                <w:szCs w:val="20"/>
              </w:rPr>
              <w:t>Wert / Risiko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2" w14:textId="77777777" w:rsidR="007016CA" w:rsidRDefault="00000000">
            <w:r>
              <w:rPr>
                <w:sz w:val="20"/>
                <w:szCs w:val="20"/>
              </w:rPr>
              <w:t>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3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4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5" w14:textId="77777777" w:rsidR="007016CA" w:rsidRDefault="00000000">
            <w:r>
              <w:rPr>
                <w:sz w:val="20"/>
                <w:szCs w:val="20"/>
              </w:rPr>
              <w:t>Mittel</w:t>
            </w:r>
          </w:p>
        </w:tc>
      </w:tr>
      <w:tr w:rsidR="007016CA" w14:paraId="503B455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7" w14:textId="77777777" w:rsidR="007016CA" w:rsidRDefault="00000000">
            <w:r>
              <w:rPr>
                <w:sz w:val="20"/>
                <w:szCs w:val="20"/>
              </w:rPr>
              <w:t>TCO/TVO-Analyse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8" w14:textId="77777777" w:rsidR="007016CA" w:rsidRDefault="00000000">
            <w:r>
              <w:rPr>
                <w:sz w:val="20"/>
                <w:szCs w:val="20"/>
              </w:rPr>
              <w:t>Wert / Risiko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9" w14:textId="77777777" w:rsidR="007016CA" w:rsidRDefault="00000000">
            <w:r>
              <w:rPr>
                <w:sz w:val="20"/>
                <w:szCs w:val="20"/>
              </w:rPr>
              <w:t>★★★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A" w14:textId="77777777" w:rsidR="007016CA" w:rsidRDefault="00000000">
            <w:r>
              <w:rPr>
                <w:sz w:val="20"/>
                <w:szCs w:val="20"/>
              </w:rPr>
              <w:t>★★★★★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B" w14:textId="77777777" w:rsidR="007016CA" w:rsidRDefault="00000000">
            <w:r>
              <w:rPr>
                <w:sz w:val="20"/>
                <w:szCs w:val="20"/>
              </w:rPr>
              <w:t>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C" w14:textId="77777777" w:rsidR="007016CA" w:rsidRDefault="00000000">
            <w:proofErr w:type="spellStart"/>
            <w:r>
              <w:rPr>
                <w:sz w:val="20"/>
                <w:szCs w:val="20"/>
              </w:rPr>
              <w:t>Grosse</w:t>
            </w:r>
            <w:proofErr w:type="spellEnd"/>
            <w:r>
              <w:rPr>
                <w:sz w:val="20"/>
                <w:szCs w:val="20"/>
              </w:rPr>
              <w:t xml:space="preserve"> Projekte</w:t>
            </w:r>
          </w:p>
        </w:tc>
      </w:tr>
      <w:tr w:rsidR="007016CA" w14:paraId="503B456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E" w14:textId="77777777" w:rsidR="007016CA" w:rsidRDefault="00000000">
            <w:r>
              <w:rPr>
                <w:sz w:val="20"/>
                <w:szCs w:val="20"/>
              </w:rPr>
              <w:t>7R Cloud-Migration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5F" w14:textId="77777777" w:rsidR="007016CA" w:rsidRDefault="00000000">
            <w:r>
              <w:rPr>
                <w:sz w:val="20"/>
                <w:szCs w:val="20"/>
              </w:rPr>
              <w:t>Cloud-Migration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60" w14:textId="77777777" w:rsidR="007016CA" w:rsidRDefault="00000000">
            <w:r>
              <w:rPr>
                <w:sz w:val="20"/>
                <w:szCs w:val="20"/>
              </w:rPr>
              <w:t>★★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61" w14:textId="77777777" w:rsidR="007016CA" w:rsidRDefault="00000000">
            <w:r>
              <w:rPr>
                <w:sz w:val="20"/>
                <w:szCs w:val="20"/>
              </w:rPr>
              <w:t>★★★★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62" w14:textId="77777777" w:rsidR="007016CA" w:rsidRDefault="00000000">
            <w:r>
              <w:rPr>
                <w:sz w:val="20"/>
                <w:szCs w:val="20"/>
              </w:rPr>
              <w:t>★★★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B4563" w14:textId="77777777" w:rsidR="007016CA" w:rsidRDefault="00000000">
            <w:r>
              <w:rPr>
                <w:sz w:val="20"/>
                <w:szCs w:val="20"/>
              </w:rPr>
              <w:t>IT-Teams</w:t>
            </w:r>
          </w:p>
        </w:tc>
      </w:tr>
    </w:tbl>
    <w:p w14:paraId="503B4565" w14:textId="77777777" w:rsidR="007016CA" w:rsidRDefault="007016CA">
      <w:pPr>
        <w:spacing w:before="60" w:after="80"/>
        <w:jc w:val="both"/>
      </w:pPr>
    </w:p>
    <w:p w14:paraId="503B4566" w14:textId="77777777" w:rsidR="007016CA" w:rsidRDefault="00000000">
      <w:pPr>
        <w:pStyle w:val="berschrift2"/>
      </w:pPr>
      <w:r>
        <w:t>7.2 Strategische Schlussfolgerungen</w:t>
      </w:r>
    </w:p>
    <w:p w14:paraId="503B4567" w14:textId="77777777" w:rsidR="007016CA" w:rsidRDefault="00000000">
      <w:pPr>
        <w:spacing w:before="60" w:after="80"/>
        <w:jc w:val="both"/>
      </w:pPr>
      <w:r>
        <w:t>Drei übergreifende Erkenntnisse lassen sich aus der Modellanalyse ableiten:</w:t>
      </w:r>
    </w:p>
    <w:p w14:paraId="503B4568" w14:textId="77777777" w:rsidR="007016CA" w:rsidRDefault="00000000">
      <w:pPr>
        <w:spacing w:before="60" w:after="80"/>
        <w:jc w:val="both"/>
      </w:pPr>
      <w:r>
        <w:t>Erstens: Das SCOR-Modell ist das einzige Bewertungsrahmenwerk, das von SCM-Mitarbeitern vollständig aus eigener fachlicher Kompetenz heraus angewendet werden kann, da es direkt auf ihrem Prozesswissen basiert. Es bildet die Grundlage aller anderen Bewertungsdimensionen und sollte als Kernraster des EA-Artefakts dienen.</w:t>
      </w:r>
    </w:p>
    <w:p w14:paraId="503B4569" w14:textId="77777777" w:rsidR="007016CA" w:rsidRDefault="00000000">
      <w:pPr>
        <w:spacing w:before="60" w:after="80"/>
        <w:jc w:val="both"/>
      </w:pPr>
      <w:r>
        <w:t xml:space="preserve">Zweitens: Die optimale Partizipationsstrategie für SCM-Mitarbeiter kombiniert das PACE </w:t>
      </w:r>
      <w:proofErr w:type="spellStart"/>
      <w:r>
        <w:t>Layered</w:t>
      </w:r>
      <w:proofErr w:type="spellEnd"/>
      <w:r>
        <w:t xml:space="preserve"> Model (strategische Klassifikation, intuitiv) mit der Wert-Komplexitäts-Matrix (Priorisierung, einfach durchführbar) in Workshop-Formaten. Diese beiden Modelle erfordern keine EA-Kenntnisse und liefern direkt verwertbare Eingaben für die Roadmap.</w:t>
      </w:r>
    </w:p>
    <w:p w14:paraId="503B456D" w14:textId="346BB17F" w:rsidR="007016CA" w:rsidRDefault="00000000" w:rsidP="00015811">
      <w:pPr>
        <w:spacing w:before="60" w:after="80"/>
        <w:jc w:val="both"/>
      </w:pPr>
      <w:r>
        <w:rPr>
          <w:rFonts w:ascii="Arial Unicode MS" w:eastAsia="Arial Unicode MS" w:hAnsi="Arial Unicode MS" w:cs="Arial Unicode MS"/>
        </w:rPr>
        <w:t>Drittens: Die Reifegradentwicklung der SCM-Fähigkeiten (S(CM)² L1 → L3+, SCOR-Maturität L3+) ist direkt von den geplanten Anwendungsmigrationen abhängig. Dieser Zusammenhang stellt das stärkste theoretische Argument der Masterarbeit dar: Nicht die Technologie treibt die Transformation, sondern die angestrebte Prozessreife der Supply Chain bestimmt, welche Anwendungen migriert werden müssen und in welcher Reihenfolge.</w:t>
      </w:r>
    </w:p>
    <w:sectPr w:rsidR="007016C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DE70C" w14:textId="77777777" w:rsidR="00966CAD" w:rsidRDefault="00966CAD">
      <w:r>
        <w:separator/>
      </w:r>
    </w:p>
  </w:endnote>
  <w:endnote w:type="continuationSeparator" w:id="0">
    <w:p w14:paraId="3A5075F8" w14:textId="77777777" w:rsidR="00966CAD" w:rsidRDefault="00966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467FE6-3091-43C6-962C-83EFDECB9CB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32FFAD-8E54-4F8D-8576-372A1150665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D37313-AF0F-4B5C-A036-BD89A9320A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B456F" w14:textId="420276ED" w:rsidR="007016CA" w:rsidRDefault="00000000">
    <w:pPr>
      <w:pBdr>
        <w:top w:val="single" w:sz="4" w:space="1" w:color="2E75B6"/>
      </w:pBdr>
      <w:spacing w:before="120"/>
    </w:pPr>
    <w:r>
      <w:rPr>
        <w:color w:val="808080"/>
        <w:sz w:val="18"/>
        <w:szCs w:val="18"/>
      </w:rPr>
      <w:t xml:space="preserve">Vertraulich – Interne </w:t>
    </w:r>
    <w:proofErr w:type="gramStart"/>
    <w:r>
      <w:rPr>
        <w:color w:val="808080"/>
        <w:sz w:val="18"/>
        <w:szCs w:val="18"/>
      </w:rPr>
      <w:t>Nutzung  |</w:t>
    </w:r>
    <w:proofErr w:type="gramEnd"/>
    <w:r>
      <w:rPr>
        <w:color w:val="808080"/>
        <w:sz w:val="18"/>
        <w:szCs w:val="18"/>
      </w:rPr>
      <w:t xml:space="preserve">  Seite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015811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EDF63" w14:textId="77777777" w:rsidR="00966CAD" w:rsidRDefault="00966CAD">
      <w:r>
        <w:separator/>
      </w:r>
    </w:p>
  </w:footnote>
  <w:footnote w:type="continuationSeparator" w:id="0">
    <w:p w14:paraId="1A192DCC" w14:textId="77777777" w:rsidR="00966CAD" w:rsidRDefault="00966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B456E" w14:textId="77777777" w:rsidR="007016CA" w:rsidRDefault="00000000">
    <w:pPr>
      <w:pBdr>
        <w:bottom w:val="single" w:sz="4" w:space="1" w:color="2E75B6"/>
      </w:pBdr>
      <w:spacing w:after="120"/>
    </w:pPr>
    <w:r>
      <w:rPr>
        <w:b/>
        <w:bCs/>
        <w:color w:val="2E75B6"/>
        <w:sz w:val="18"/>
        <w:szCs w:val="18"/>
      </w:rPr>
      <w:t>ASMPT SMT GmbH &amp; Co. KG</w:t>
    </w:r>
    <w:r>
      <w:rPr>
        <w:color w:val="808080"/>
        <w:sz w:val="18"/>
        <w:szCs w:val="18"/>
      </w:rPr>
      <w:t xml:space="preserve">   |   Enterprise Architecture – Anwendungsportfolio-Bewertungsmodelle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6B3"/>
    <w:multiLevelType w:val="multilevel"/>
    <w:tmpl w:val="A83CB2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61E0F99"/>
    <w:multiLevelType w:val="multilevel"/>
    <w:tmpl w:val="478655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4129898">
    <w:abstractNumId w:val="0"/>
  </w:num>
  <w:num w:numId="2" w16cid:durableId="1754812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6CA"/>
    <w:rsid w:val="00015811"/>
    <w:rsid w:val="007016CA"/>
    <w:rsid w:val="00966CAD"/>
    <w:rsid w:val="009C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B42AA"/>
  <w15:docId w15:val="{A8F2849B-9A36-4F27-9B32-9355D8701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497D"/>
      <w:sz w:val="36"/>
      <w:szCs w:val="36"/>
    </w:rPr>
  </w:style>
  <w:style w:type="paragraph" w:styleId="berschrift2">
    <w:name w:val="heading 2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1F497D"/>
      <w:sz w:val="28"/>
      <w:szCs w:val="28"/>
    </w:rPr>
  </w:style>
  <w:style w:type="paragraph" w:styleId="berschrift3">
    <w:name w:val="heading 3"/>
    <w:basedOn w:val="Standard"/>
    <w:next w:val="Standard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3369</Words>
  <Characters>21227</Characters>
  <Application>Microsoft Office Word</Application>
  <DocSecurity>0</DocSecurity>
  <Lines>176</Lines>
  <Paragraphs>49</Paragraphs>
  <ScaleCrop>false</ScaleCrop>
  <Company/>
  <LinksUpToDate>false</LinksUpToDate>
  <CharactersWithSpaces>24547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Delaye, Joaquim</cp:lastModifiedBy>
  <cp:revision>2</cp:revision>
  <dcterms:created xsi:type="dcterms:W3CDTF">2026-04-21T05:47:00Z</dcterms:created>
  <dcterms:modified xsi:type="dcterms:W3CDTF">2026-04-21T05:53:00Z</dcterms:modified>
</cp:coreProperties>
</file>