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PROCEDIMIENTO PARA LA ELABORACIÓN DEL INFORME DE PAGO A PROVEEDORES Y DE LAS MACROS DE PAGO MASIVO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730"/>
        <w:gridCol w:w="1950"/>
        <w:gridCol w:w="2730"/>
      </w:tblGrid>
      <w:tr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Código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PR-FIN-02</w:t>
            </w:r>
          </w:p>
        </w:tc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Versión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Angie Ayzanoa — Asistente Administrativo Financiero</w:t>
            </w:r>
          </w:p>
        </w:tc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Fecha de emisión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Octubre 2026</w:t>
            </w:r>
          </w:p>
        </w:tc>
      </w:tr>
      <w:tr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Revisado por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Jefatura de Finanzas</w:t>
            </w:r>
          </w:p>
        </w:tc>
        <w:tc>
          <w:tcPr>
            <w:tcW w:type="dxa" w:w="19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Aprobado por</w:t>
            </w:r>
          </w:p>
        </w:tc>
        <w:tc>
          <w:tcPr>
            <w:tcW w:type="dxa" w:w="273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Gerencia de Administración y Finanzas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 Propósito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Establecer y formalizar el procedimiento para la elaboración del informe semanal de pagos a proveedores de Reactivos Nacionales S.A. (RENASA) y para la generación de las macros de pago masivo del banco, mediante el aplicativo «Automatización de informe de pago a proveedores», de modo que los pagos se programen con información uniforme, trazable y revisada antes de su ejecución.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 Alcance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Comprende desde la descarga de los archivos fuente hasta la entrega del informe aprobado y de los archivos de pago listos para su carga en la banca electrónica. Aplica a los pagos a proveedores nacionales y del exterior, a los agentes de aduana, a los pagos al personal, a los pagos anticipados y a las transferencias entre cuentas propias de la empresa.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 Referencias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Texto Único Ordenado del Decreto Legislativo N° 940 y Resolución de Superintendencia N° 183-2004/SUNAT, y sus modificatorias — Sistema de Pago de Obligaciones Tributarias (detracciones).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Resolución de Superintendencia N° 037-2002/SUNAT y sus modificatorias — Régimen de Retenciones del IGV.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de uso de la banca electrónica del banco — módulo de pago a proveedores (pago masivo).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Políticas internas de pagos, niveles de aprobación y manejo de caja de RENASA.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de usuario del aplicativo «Automatización de informe de pago a proveedores».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 Definiciones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Reporteador: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Reporte de facturas pendientes de pago que se descarga del sistema y constituye la base del informe.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Reporte de proveedores: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Detalle de las cuentas por pagar en soles y en dólares, que se cruza con el Reporteador por RUC y número de documento.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Proceso: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Cada ejecución registrada en el aplicativo: conserva las facturas, su clasificación y los ajustes hechos, y queda disponible en el Historial.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Operación: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Agrupación con la que se ordena el pago en el informe (pago masivo de proveedores, agentes de aduana, pagos varios, pagos de servicios, materia prima, entre otras).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Detracción: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Importe que se detrae del pago al proveedor y se deposita en su cuenta del Banco de la Nación, cuando la operación está sujeta al sistema.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Retención del IGV: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Retención del 3% del importe de la factura que se aplica a las operaciones de bienes que superan los S/ 700, salvo las excepciones previstas en el régimen.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Neto: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Importe que efectivamente se paga al proveedor: el saldo de la factura menos la detracción y la retención que correspondan.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Agente de aduana: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Proveedor que gestiona el despacho aduanero. Las facturas de una misma orden de compra en las que participa se consolidan y se depositan al agente.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Proveedor relacionado: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Proveedor cuya participación en una orden de compra hace que esa orden se consolide y se pague a través del agente de aduana (navieras, operadores logísticos, entre otros).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Macro de pago masivo: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Archivo del banco en el que se cargan los abonos de la semana y que, al ejecutarse, genera el archivo que se sube a la banca electrónica.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 de cuentas: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Relación de proveedores con su número y tipo de cuenta, que el aplicativo usa para llenar las macros.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 Responsabilidades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Área de Finanzas: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Descargar los archivos fuente, procesarlos en el aplicativo, revisar la clasificación de cada factura, elaborar el informe, generar las macros y archivar la documentación de la semana.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Gerencia de Administración y Finanzas: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Revisar el informe de pagos, aprobar la programación de la semana y disponer, de ser el caso, la venta o transferencia de dólares que las alertas indiquen.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Área de Tesorería: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Cargar los archivos de pago en la banca electrónica, gestionar su aprobación y confirmar la ejecución de los abonos.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Responsable del aplicativo: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Mantener actualizada la configuración: operaciones, agentes de aduana, proveedores relacionados, agentes de retención, base de cuentas y plantillas del banco.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 Descripción del procedimiento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ciclo se inicia con la descarga de los archivos fuente del sistema. El Área de Finanzas los carga en el aplicativo, que limpia la información, cruza las facturas por RUC y número de documento y clasifica cada una en la operación que le corresponde según su moneda, su procedencia y las reglas configuradas.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Sobre esa clasificación, el Área de Finanzas revisa el resultado en pantalla y ajusta lo que sea necesario: reasigna facturas entre operaciones, aplica el filtro de fechas de vencimiento de la semana y registra el tipo de cambio del día. Las facturas que no se pagan en la semana quedan fuera del informe.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aplicativo calcula para cada factura la detracción y la retención que correspondan y obtiene el neto a pagar. Con esa información genera el informe en Excel, con una hoja de Resumen por operación y banco, el Detalle de las facturas y el Detalle de los agentes de aduana. El Área de Finanzas completa en el Resumen los saldos disponibles por banco y el ingreso estimado de la semana.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 Gerencia de Administración y Finanzas revisa el informe, verifica el saldo proyectado y las alertas de liquidez, y aprueba la programación de pagos. Recién con esa aprobación se generan las macros de pago masivo, una por moneda, que reproducen los importes del informe.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cargar los archivos en el banco se revisa la relación de abonos: el aplicativo señala los proveedores que no están en la base de cuentas, para completarlos a mano. El Área de Tesorería ejecuta la macro, carga el archivo en la banca electrónica y gestiona su aprobación según los niveles de firma establecidos.</w:t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  Método de trabajo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750"/>
        <w:gridCol w:w="4160"/>
        <w:gridCol w:w="1600"/>
      </w:tblGrid>
      <w:tr>
        <w:trPr>
          <w:tblHeader/>
        </w:trPr>
        <w:tc>
          <w:tcPr>
            <w:tcW w:type="dxa" w:w="185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75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416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595959" w:sz="4"/>
              <w:left w:val="single" w:color="595959" w:sz="4"/>
              <w:bottom w:val="single" w:color="595959" w:sz="4"/>
              <w:right w:val="single" w:color="595959" w:sz="4"/>
            </w:tcBorders>
            <w:shd w:fill="59595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Registro / Documento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Descarga de los archivos fuente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Descarga del sistema el Reporteador y los reportes de proveedores en soles y en dólares, con el corte de la semana.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Archivos fuente (Excel)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Carga y procesamiento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«Entrada de información» carga los tres archivos y pulsa Procesar.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sistema limpia los datos, cruza las facturas por RUC y número de documento, y clasifica cada una en su operación.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Proceso registrado en el Historial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Revisión de la clasificación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 «Informes» revisa factura por factura la operación asignada y reasigna la que corresponda.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Aplica el filtro de fechas de vencimiento de la semana y registra el tipo de cambio del día.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 que no se paga esta semana queda en «Otros».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Proceso guardado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Descarga del informe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Descarga el informe en Excel: hojas Resumen, Detalle y Detalle de agentes.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 a mano los saldos disponibles por banco, el ingreso estimado y los pagos anticipados.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Informe de pago a proveedores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Revisión y aprobación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Gerencia de Administración y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Revisa los totales por operación y por moneda, el saldo proyectado y las alertas de venta o transferencia de dólares.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Aprueba la programación de pagos de la semana.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Informe aprobado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Generación de las macros de pago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 el informe aprobado pulsa «Macros BCP» y obtiene la macro de soles y la de dólares.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Completa en la macro los datos de los proveedores que no estén en la base de cuentas.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Macros de pago masivo (.xlsm)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Carga en la banca electrónica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Tesorería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Ejecuta la macro, genera el archivo del banco y lo carga en la banca electrónica.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Los pagos se aprueban según los niveles de firma establecidos.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Constancia de carga</w:t>
            </w:r>
          </w:p>
        </w:tc>
      </w:tr>
      <w:tr>
        <w:tc>
          <w:tcPr>
            <w:tcW w:type="dxa" w:w="18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Archivo de la documentación</w:t>
            </w:r>
          </w:p>
        </w:tc>
        <w:tc>
          <w:tcPr>
            <w:tcW w:type="dxa" w:w="17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Área de Finanzas</w:t>
            </w:r>
          </w:p>
        </w:tc>
        <w:tc>
          <w:tcPr>
            <w:tcW w:type="dxa" w:w="41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Guarda el informe y las macros en la carpeta de la semana.</w:t>
            </w:r>
          </w:p>
          <w:p>
            <w:pPr>
              <w:spacing w:after="40"/>
              <w:ind w:left="170" w:hanging="17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–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El proceso queda en el Historial del aplicativo y se puede volver a descargar.</w:t>
            </w:r>
          </w:p>
        </w:tc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Carpeta de la semana</w:t>
            </w:r>
          </w:p>
        </w:tc>
      </w:tr>
    </w:tbl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  Casos especiales y controles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Proveedor sin cuenta registrada: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Entra en la macro con los datos en blanco para completarlos a mano. Después debe incorporarse a la base de cuentas para que no vuelva a ocurrir.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Órdenes de compra sin agente identificado: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Cuando ninguna factura de la orden corresponde a un agente registrado, el informe la marca como «Colocar nombre de agente manualmente» y en la macro se completan el nombre y la cuenta.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Facturas con detracción: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se les aplica retención, por tratarse de operaciones sujetas al sistema de detracciones.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Proveedores del exterior: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están afectos a la retención del IGV y su identificador no tiene el formato de un RUC peruano.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Transferencias entre cuentas propias: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 muestran en el detalle del informe, pero no forman parte de los pagos a realizar del Resumen ni de las macros.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Cuadre obligatorio: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Antes de cargar los archivos al banco se verifica que el total de cada macro coincida con el total de la operación correspondiente en el informe.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Trazabilidad: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Cada ejecución queda guardada en el Historial del aplicativo, con la posibilidad de nombrarla y de volver a descargar el informe.</w:t>
      </w:r>
    </w:p>
    <w:p>
      <w:r>
        <w:br w:type="page"/>
      </w:r>
    </w:p>
    <w:p>
      <w:pPr>
        <w:pStyle w:val="Heading1"/>
        <w:pBdr>
          <w:bottom w:val="single" w:color="F1D215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  Flujograma del proceso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Descarga el Reporteador y los reportes de proveedores de la semana.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F1D215" w:sz="4"/>
              <w:left w:val="single" w:color="F1D215" w:sz="4"/>
              <w:bottom w:val="single" w:color="F1D215" w:sz="4"/>
              <w:right w:val="single" w:color="F1D215" w:sz="4"/>
            </w:tcBorders>
            <w:shd w:fill="FDF6D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Aplicativo: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Cruza y clasifica las facturas por operación, calcula detracción, retención y neto.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Revisa la clasificación, filtra por fecha de vencimiento y registra el tipo de cambio.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Descarga el informe y completa los saldos por banco y el ingreso estimado.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F1D215" w:sz="4"/>
              <w:left w:val="single" w:color="F1D215" w:sz="4"/>
              <w:bottom w:val="single" w:color="F1D215" w:sz="4"/>
              <w:right w:val="single" w:color="F1D215" w:sz="4"/>
            </w:tcBorders>
            <w:shd w:fill="FDF6D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Gerencia de Adm. y 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Revisa el informe y aprueba la programación de pagos.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 las macros de soles y dólares, y completa las cuentas faltantes.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Tesorería: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Carga el archivo en la banca electrónica y gestiona su aprobación.</w:t>
            </w:r>
          </w:p>
        </w:tc>
      </w:tr>
    </w:tbl>
    <w:p>
      <w:pPr>
        <w:spacing w:after="60" w:before="60"/>
        <w:jc w:val="center"/>
      </w:pPr>
      <w:r>
        <w:rPr>
          <w:rFonts w:ascii="Calibri" w:cs="Calibri" w:eastAsia="Calibri" w:hAnsi="Calibri"/>
          <w:color w:val="8C8C8C"/>
          <w:sz w:val="22"/>
          <w:szCs w:val="22"/>
        </w:rPr>
        <w:t xml:space="preserve">▼</w:t>
      </w:r>
    </w:p>
    <w:tbl>
      <w:tblPr>
        <w:tblW w:type="dxa" w:w="720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2F2F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Finanzas: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Archiva el informe y las macros en la carpeta de la semana.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7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F2F2" w:sz="6" w:space="6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Reactivos Nacionales S.A.  ·  Uso interno  ·  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F1D215" w:sz="12"/>
        <w:right w:val="none" w:color="FFFFFF" w:sz="0"/>
        <w:insideH w:val="none" w:color="FFFFFF" w:sz="0"/>
        <w:insideV w:val="none" w:color="FFFFFF" w:sz="0"/>
      </w:tblBorders>
    </w:tblPr>
    <w:tblGrid>
      <w:gridCol w:w="1500"/>
      <w:gridCol w:w="6360"/>
      <w:gridCol w:w="1500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60"/>
          </w:pPr>
          <w:r>
            <w:drawing>
              <wp:inline distT="0" distB="0" distL="0" distR="0">
                <wp:extent cx="800100" cy="762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A1A1A"/>
              <w:sz w:val="22"/>
              <w:szCs w:val="22"/>
            </w:rPr>
            <w:t xml:space="preserve">PROCEDIMIENTO DE PAGO A PROVEEDORES</w:t>
          </w:r>
        </w:p>
        <w:p>
          <w:pPr>
            <w:spacing w:after="60"/>
            <w:jc w:val="center"/>
          </w:pPr>
          <w:r>
            <w:rPr>
              <w:rFonts w:ascii="Calibri" w:cs="Calibri" w:eastAsia="Calibri" w:hAnsi="Calibri"/>
              <w:color w:val="595959"/>
              <w:sz w:val="17"/>
              <w:szCs w:val="17"/>
            </w:rPr>
            <w:t xml:space="preserve">Elaboración del informe semanal y de las macros de pago masivo</w:t>
          </w:r>
        </w:p>
      </w:tc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0"/>
            <w:jc w:val="right"/>
          </w:pPr>
          <w:r>
            <w:rPr>
              <w:rFonts w:ascii="Calibri" w:cs="Calibri" w:eastAsia="Calibri" w:hAnsi="Calibri"/>
              <w:color w:val="595959"/>
              <w:sz w:val="17"/>
              <w:szCs w:val="17"/>
            </w:rPr>
            <w:t xml:space="preserve">PR-FIN-02</w:t>
          </w:r>
        </w:p>
        <w:p>
          <w:pPr>
            <w:spacing w:after="60"/>
            <w:jc w:val="right"/>
          </w:pPr>
          <w:r>
            <w:rPr>
              <w:rFonts w:ascii="Calibri" w:cs="Calibri" w:eastAsia="Calibri" w:hAnsi="Calibri"/>
              <w:color w:val="595959"/>
              <w:sz w:val="17"/>
              <w:szCs w:val="17"/>
            </w:rPr>
            <w:t xml:space="preserve">Versión 1.0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b/>
        <w:bCs/>
        <w:color w:val="F1D2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0573b51ee0bc5fb04438144b493d552c4547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pago a proveedores</dc:title>
  <dc:creator>Reactivos Nacionales S.A.</dc:creator>
  <dc:description>Elaboración del informe semanal de pagos a proveedores y de las macros de pago masivo.</dc:description>
  <cp:lastModifiedBy>Un-named</cp:lastModifiedBy>
  <cp:revision>1</cp:revision>
  <dcterms:created xsi:type="dcterms:W3CDTF">2026-10-01T20:34:24.931Z</dcterms:created>
  <dcterms:modified xsi:type="dcterms:W3CDTF">2026-10-01T20:34:24.932Z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