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9B3" w:rsidRDefault="007329B3">
      <w:r>
        <w:br w:type="page"/>
      </w:r>
    </w:p>
    <w:p w:rsidR="007329B3" w:rsidRDefault="007329B3">
      <w:r>
        <w:t>TABLA DE CONTENIDO</w:t>
      </w:r>
      <w:r>
        <w:br/>
      </w:r>
      <w:bookmarkStart w:id="0" w:name="_GoBack"/>
      <w:bookmarkEnd w:id="0"/>
    </w:p>
    <w:p w:rsidR="007329B3" w:rsidRDefault="007329B3">
      <w:r>
        <w:br w:type="page"/>
      </w:r>
    </w:p>
    <w:p w:rsidR="007329B3" w:rsidRDefault="007329B3">
      <w:r>
        <w:t>INTRODUCCIÓN</w:t>
      </w:r>
    </w:p>
    <w:p w:rsidR="007329B3" w:rsidRDefault="007329B3">
      <w:r>
        <w:t xml:space="preserve">En este manual se </w:t>
      </w:r>
      <w:proofErr w:type="spellStart"/>
      <w:r>
        <w:t>explallarán</w:t>
      </w:r>
      <w:proofErr w:type="spellEnd"/>
      <w:r>
        <w:t xml:space="preserve"> las distintas pautas y normas llevadas al cabo en cuestión de querer hacer uso de la marca DAJOCA en diferentes aplicaciones y/o webs. El cuyo objetivo de este manual es la cierta estandarización de la imagen, así como su reproducibilidad, ya sea física y/o digital.</w:t>
      </w:r>
    </w:p>
    <w:p w:rsidR="003D32F9" w:rsidRDefault="007329B3">
      <w:r>
        <w:t xml:space="preserve">Se </w:t>
      </w:r>
      <w:proofErr w:type="gramStart"/>
      <w:r>
        <w:t>abarcaran</w:t>
      </w:r>
      <w:proofErr w:type="gramEnd"/>
      <w:r>
        <w:t xml:space="preserve"> temas de estructuración, forma y colores; así como un cierto criterio a la hora de aplicar la tipografía posteriormente explayada. De manera resultante como ayuda, se </w:t>
      </w:r>
      <w:r w:rsidR="003D32F9">
        <w:t>a</w:t>
      </w:r>
      <w:r>
        <w:t>portarán</w:t>
      </w:r>
      <w:r w:rsidR="003D32F9">
        <w:t xml:space="preserve"> criterios, y normas para la comunicación tanto interna como externa de la papelería a cuyas funciones serán delegadas, así como en conjunto de los canales de comunicación, como se han mencionado antes, externos e internos.</w:t>
      </w:r>
      <w:r>
        <w:t xml:space="preserve"> </w:t>
      </w:r>
    </w:p>
    <w:p w:rsidR="003D32F9" w:rsidRDefault="003D32F9"/>
    <w:p w:rsidR="007329B3" w:rsidRDefault="003D32F9">
      <w:r>
        <w:t xml:space="preserve">En conclusión, este manual de marcas, servirá como base/herramienta a utilizar para tener un ligero criterio de las características de la empresa. En ningún momento se pretende restringir la creatividad; sino que se pretende demarcar unas pautas mínimas (variables, regidas por la empresa), de manera que de manera resultante se llegue a la conclusión de un producto 100% terminado, pulido y </w:t>
      </w:r>
      <w:r w:rsidR="002F735B" w:rsidRPr="002F735B">
        <w:t>efectuado según se rigen las normas.</w:t>
      </w:r>
      <w:r w:rsidR="007329B3">
        <w:br w:type="page"/>
      </w:r>
    </w:p>
    <w:p w:rsidR="003D32F9" w:rsidRDefault="003D32F9"/>
    <w:sectPr w:rsidR="003D32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9B3"/>
    <w:rsid w:val="002F735B"/>
    <w:rsid w:val="003D32F9"/>
    <w:rsid w:val="00560099"/>
    <w:rsid w:val="007329B3"/>
    <w:rsid w:val="007708B2"/>
    <w:rsid w:val="00C6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70215"/>
  <w15:chartTrackingRefBased/>
  <w15:docId w15:val="{28994D27-A27C-44DA-BD75-5238B425D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2</cp:revision>
  <dcterms:created xsi:type="dcterms:W3CDTF">2026-09-24T16:23:00Z</dcterms:created>
  <dcterms:modified xsi:type="dcterms:W3CDTF">2026-10-02T17:38:00Z</dcterms:modified>
</cp:coreProperties>
</file>