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BE7F4" w14:textId="77777777" w:rsidR="00664ED9" w:rsidRPr="00664ED9" w:rsidRDefault="00664ED9" w:rsidP="00664ED9">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664ED9">
        <w:rPr>
          <w:rFonts w:ascii="Times New Roman" w:eastAsia="Times New Roman" w:hAnsi="Times New Roman" w:cs="Times New Roman"/>
          <w:b/>
          <w:bCs/>
          <w:sz w:val="36"/>
          <w:szCs w:val="36"/>
          <w:lang w:eastAsia="es-AR"/>
        </w:rPr>
        <w:t>. Resumen del Escenario</w:t>
      </w:r>
    </w:p>
    <w:p w14:paraId="6ACE4E5C" w14:textId="77777777" w:rsidR="00664ED9" w:rsidRPr="00664ED9" w:rsidRDefault="00664ED9" w:rsidP="00664ED9">
      <w:pPr>
        <w:spacing w:before="100" w:beforeAutospacing="1" w:after="100" w:afterAutospacing="1" w:line="240" w:lineRule="auto"/>
        <w:rPr>
          <w:rFonts w:ascii="Times New Roman" w:eastAsia="Times New Roman" w:hAnsi="Times New Roman" w:cs="Times New Roman"/>
          <w:sz w:val="24"/>
          <w:szCs w:val="24"/>
          <w:lang w:eastAsia="es-AR"/>
        </w:rPr>
      </w:pPr>
      <w:r w:rsidRPr="00664ED9">
        <w:rPr>
          <w:rFonts w:ascii="Times New Roman" w:eastAsia="Times New Roman" w:hAnsi="Times New Roman" w:cs="Times New Roman"/>
          <w:sz w:val="24"/>
          <w:szCs w:val="24"/>
          <w:lang w:eastAsia="es-AR"/>
        </w:rPr>
        <w:t xml:space="preserve">El ecosistema de la aplicación </w:t>
      </w:r>
      <w:proofErr w:type="spellStart"/>
      <w:r w:rsidRPr="00664ED9">
        <w:rPr>
          <w:rFonts w:ascii="Times New Roman" w:eastAsia="Times New Roman" w:hAnsi="Times New Roman" w:cs="Times New Roman"/>
          <w:sz w:val="24"/>
          <w:szCs w:val="24"/>
          <w:lang w:eastAsia="es-AR"/>
        </w:rPr>
        <w:t>MotoRed</w:t>
      </w:r>
      <w:proofErr w:type="spellEnd"/>
      <w:r w:rsidRPr="00664ED9">
        <w:rPr>
          <w:rFonts w:ascii="Times New Roman" w:eastAsia="Times New Roman" w:hAnsi="Times New Roman" w:cs="Times New Roman"/>
          <w:sz w:val="24"/>
          <w:szCs w:val="24"/>
          <w:lang w:eastAsia="es-AR"/>
        </w:rPr>
        <w:t xml:space="preserve"> presenta una disonancia evidente entre su diseño formal y su operativa real. La plataforma calcula tarifas de envío basándose únicamente en la distancia (ej. $800), lo cual resulta inviable para los Repartidores, quienes exigen montos superiores ($1500) para cubrir costos operativos. Los Comerciantes, priorizando que los alimentos no se enfríen, avalan esta logística privatizada y acuerdan entregas por fuera del sistema. Los Clientes finales asumen el impacto de esta falta de transparencia, descubriendo sobreprecios al momento de recibir el pedido. La necesidad primordial es alinear la lógica del sistema informático con la viabilidad económica real de los actores. </w:t>
      </w:r>
    </w:p>
    <w:p w14:paraId="07A10DA5" w14:textId="77777777" w:rsidR="00664ED9" w:rsidRPr="00664ED9" w:rsidRDefault="00664ED9" w:rsidP="00664ED9">
      <w:pPr>
        <w:spacing w:after="0" w:line="240" w:lineRule="auto"/>
        <w:rPr>
          <w:rFonts w:ascii="Times New Roman" w:eastAsia="Times New Roman" w:hAnsi="Times New Roman" w:cs="Times New Roman"/>
          <w:sz w:val="24"/>
          <w:szCs w:val="24"/>
          <w:lang w:eastAsia="es-AR"/>
        </w:rPr>
      </w:pPr>
      <w:r w:rsidRPr="00664ED9">
        <w:rPr>
          <w:rFonts w:ascii="Times New Roman" w:eastAsia="Times New Roman" w:hAnsi="Times New Roman" w:cs="Times New Roman"/>
          <w:sz w:val="24"/>
          <w:szCs w:val="24"/>
          <w:lang w:eastAsia="es-AR"/>
        </w:rPr>
        <w:t>DOCX+ 3</w:t>
      </w:r>
    </w:p>
    <w:p w14:paraId="48952DE9" w14:textId="77777777" w:rsidR="00664ED9" w:rsidRPr="00664ED9" w:rsidRDefault="00664ED9" w:rsidP="00664ED9">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664ED9">
        <w:rPr>
          <w:rFonts w:ascii="Times New Roman" w:eastAsia="Times New Roman" w:hAnsi="Times New Roman" w:cs="Times New Roman"/>
          <w:b/>
          <w:bCs/>
          <w:sz w:val="36"/>
          <w:szCs w:val="36"/>
          <w:lang w:eastAsia="es-AR"/>
        </w:rPr>
        <w:t>2. Metodología de Relevamiento</w:t>
      </w:r>
    </w:p>
    <w:p w14:paraId="1E0F1B9D" w14:textId="77777777" w:rsidR="00664ED9" w:rsidRPr="00664ED9" w:rsidRDefault="00664ED9" w:rsidP="00664ED9">
      <w:pPr>
        <w:spacing w:before="100" w:beforeAutospacing="1" w:after="100" w:afterAutospacing="1" w:line="240" w:lineRule="auto"/>
        <w:rPr>
          <w:rFonts w:ascii="Times New Roman" w:eastAsia="Times New Roman" w:hAnsi="Times New Roman" w:cs="Times New Roman"/>
          <w:sz w:val="24"/>
          <w:szCs w:val="24"/>
          <w:lang w:eastAsia="es-AR"/>
        </w:rPr>
      </w:pPr>
      <w:r w:rsidRPr="00664ED9">
        <w:rPr>
          <w:rFonts w:ascii="Times New Roman" w:eastAsia="Times New Roman" w:hAnsi="Times New Roman" w:cs="Times New Roman"/>
          <w:sz w:val="24"/>
          <w:szCs w:val="24"/>
          <w:lang w:eastAsia="es-AR"/>
        </w:rPr>
        <w:t>Se descarta la observación directa por resultar insuficiente para abordar un escenario de acuerdos ocultos. Las técnicas implementadas son:</w:t>
      </w:r>
    </w:p>
    <w:p w14:paraId="44A312F4" w14:textId="77777777" w:rsidR="00664ED9" w:rsidRPr="00664ED9" w:rsidRDefault="00664ED9" w:rsidP="00664ED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664ED9">
        <w:rPr>
          <w:rFonts w:ascii="Times New Roman" w:eastAsia="Times New Roman" w:hAnsi="Times New Roman" w:cs="Times New Roman"/>
          <w:b/>
          <w:bCs/>
          <w:sz w:val="24"/>
          <w:szCs w:val="24"/>
          <w:lang w:eastAsia="es-AR"/>
        </w:rPr>
        <w:t>Entrevistas semiestructuradas (tipo embudo):</w:t>
      </w:r>
      <w:r w:rsidRPr="00664ED9">
        <w:rPr>
          <w:rFonts w:ascii="Times New Roman" w:eastAsia="Times New Roman" w:hAnsi="Times New Roman" w:cs="Times New Roman"/>
          <w:sz w:val="24"/>
          <w:szCs w:val="24"/>
          <w:lang w:eastAsia="es-AR"/>
        </w:rPr>
        <w:t xml:space="preserve"> Aplicadas a repartidores y comerciantes para extraer las motivaciones y reglas de negocio informales. </w:t>
      </w:r>
    </w:p>
    <w:p w14:paraId="3F1AE7F8" w14:textId="77777777" w:rsidR="00664ED9" w:rsidRPr="00664ED9" w:rsidRDefault="00664ED9" w:rsidP="00664ED9">
      <w:pPr>
        <w:spacing w:beforeAutospacing="1" w:after="0" w:afterAutospacing="1" w:line="240" w:lineRule="auto"/>
        <w:ind w:left="720"/>
        <w:rPr>
          <w:rFonts w:ascii="Times New Roman" w:eastAsia="Times New Roman" w:hAnsi="Times New Roman" w:cs="Times New Roman"/>
          <w:sz w:val="24"/>
          <w:szCs w:val="24"/>
          <w:lang w:eastAsia="es-AR"/>
        </w:rPr>
      </w:pPr>
      <w:r w:rsidRPr="00664ED9">
        <w:rPr>
          <w:rFonts w:ascii="Times New Roman" w:eastAsia="Times New Roman" w:hAnsi="Times New Roman" w:cs="Times New Roman"/>
          <w:sz w:val="24"/>
          <w:szCs w:val="24"/>
          <w:lang w:eastAsia="es-AR"/>
        </w:rPr>
        <w:t>DOCX</w:t>
      </w:r>
    </w:p>
    <w:p w14:paraId="0641D9F5" w14:textId="77777777" w:rsidR="00664ED9" w:rsidRPr="00664ED9" w:rsidRDefault="00664ED9" w:rsidP="00664ED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664ED9">
        <w:rPr>
          <w:rFonts w:ascii="Times New Roman" w:eastAsia="Times New Roman" w:hAnsi="Times New Roman" w:cs="Times New Roman"/>
          <w:b/>
          <w:bCs/>
          <w:sz w:val="24"/>
          <w:szCs w:val="24"/>
          <w:lang w:eastAsia="es-AR"/>
        </w:rPr>
        <w:t>Cuestionarios cuantitativos (escala Likert):</w:t>
      </w:r>
      <w:r w:rsidRPr="00664ED9">
        <w:rPr>
          <w:rFonts w:ascii="Times New Roman" w:eastAsia="Times New Roman" w:hAnsi="Times New Roman" w:cs="Times New Roman"/>
          <w:sz w:val="24"/>
          <w:szCs w:val="24"/>
          <w:lang w:eastAsia="es-AR"/>
        </w:rPr>
        <w:t xml:space="preserve"> Distribuidos a los clientes finales para medir estadísticamente la frecuencia de los sobreprecios y deficiencias en el servicio. </w:t>
      </w:r>
    </w:p>
    <w:p w14:paraId="27533CB6" w14:textId="77777777" w:rsidR="00664ED9" w:rsidRPr="00664ED9" w:rsidRDefault="00664ED9" w:rsidP="00664ED9">
      <w:pPr>
        <w:spacing w:beforeAutospacing="1" w:after="0" w:afterAutospacing="1" w:line="240" w:lineRule="auto"/>
        <w:ind w:left="720"/>
        <w:rPr>
          <w:rFonts w:ascii="Times New Roman" w:eastAsia="Times New Roman" w:hAnsi="Times New Roman" w:cs="Times New Roman"/>
          <w:sz w:val="24"/>
          <w:szCs w:val="24"/>
          <w:lang w:eastAsia="es-AR"/>
        </w:rPr>
      </w:pPr>
      <w:r w:rsidRPr="00664ED9">
        <w:rPr>
          <w:rFonts w:ascii="Times New Roman" w:eastAsia="Times New Roman" w:hAnsi="Times New Roman" w:cs="Times New Roman"/>
          <w:sz w:val="24"/>
          <w:szCs w:val="24"/>
          <w:lang w:eastAsia="es-AR"/>
        </w:rPr>
        <w:t>DOCX</w:t>
      </w:r>
    </w:p>
    <w:p w14:paraId="3F4CC824" w14:textId="77777777" w:rsidR="00664ED9" w:rsidRPr="00664ED9" w:rsidRDefault="00664ED9" w:rsidP="00664ED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664ED9">
        <w:rPr>
          <w:rFonts w:ascii="Times New Roman" w:eastAsia="Times New Roman" w:hAnsi="Times New Roman" w:cs="Times New Roman"/>
          <w:b/>
          <w:bCs/>
          <w:sz w:val="24"/>
          <w:szCs w:val="24"/>
          <w:lang w:eastAsia="es-AR"/>
        </w:rPr>
        <w:t>Cronograma tentativo:</w:t>
      </w:r>
      <w:r w:rsidRPr="00664ED9">
        <w:rPr>
          <w:rFonts w:ascii="Times New Roman" w:eastAsia="Times New Roman" w:hAnsi="Times New Roman" w:cs="Times New Roman"/>
          <w:sz w:val="24"/>
          <w:szCs w:val="24"/>
          <w:lang w:eastAsia="es-AR"/>
        </w:rPr>
        <w:t xml:space="preserve"> 2 días para diseño de instrumentos, 2 días de entrevistas, 3 días de recolección de cuestionarios, y 3 días de análisis y síntesis documental. </w:t>
      </w:r>
    </w:p>
    <w:p w14:paraId="7FA6E57D" w14:textId="77777777" w:rsidR="00664ED9" w:rsidRPr="00664ED9" w:rsidRDefault="00664ED9" w:rsidP="00664ED9">
      <w:pPr>
        <w:spacing w:beforeAutospacing="1" w:after="0" w:afterAutospacing="1" w:line="240" w:lineRule="auto"/>
        <w:ind w:left="720"/>
        <w:rPr>
          <w:rFonts w:ascii="Times New Roman" w:eastAsia="Times New Roman" w:hAnsi="Times New Roman" w:cs="Times New Roman"/>
          <w:sz w:val="24"/>
          <w:szCs w:val="24"/>
          <w:lang w:eastAsia="es-AR"/>
        </w:rPr>
      </w:pPr>
      <w:r w:rsidRPr="00664ED9">
        <w:rPr>
          <w:rFonts w:ascii="Times New Roman" w:eastAsia="Times New Roman" w:hAnsi="Times New Roman" w:cs="Times New Roman"/>
          <w:sz w:val="24"/>
          <w:szCs w:val="24"/>
          <w:lang w:eastAsia="es-AR"/>
        </w:rPr>
        <w:t>DOCX</w:t>
      </w:r>
    </w:p>
    <w:p w14:paraId="40BEF980" w14:textId="77777777" w:rsidR="00664ED9" w:rsidRPr="00664ED9" w:rsidRDefault="00664ED9" w:rsidP="00664ED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664ED9">
        <w:rPr>
          <w:rFonts w:ascii="Times New Roman" w:eastAsia="Times New Roman" w:hAnsi="Times New Roman" w:cs="Times New Roman"/>
          <w:b/>
          <w:bCs/>
          <w:sz w:val="24"/>
          <w:szCs w:val="24"/>
          <w:lang w:eastAsia="es-AR"/>
        </w:rPr>
        <w:t>Criterios de validación:</w:t>
      </w:r>
      <w:r w:rsidRPr="00664ED9">
        <w:rPr>
          <w:rFonts w:ascii="Times New Roman" w:eastAsia="Times New Roman" w:hAnsi="Times New Roman" w:cs="Times New Roman"/>
          <w:sz w:val="24"/>
          <w:szCs w:val="24"/>
          <w:lang w:eastAsia="es-AR"/>
        </w:rPr>
        <w:t xml:space="preserve"> Se emplea triangulación para contrastar las métricas de los cuestionarios con las justificaciones de las entrevistas, seguido de una validación directa con los actores (repartidores y comercios) para garantizar que las soluciones propuestas no generen un rechazo del sistema. </w:t>
      </w:r>
    </w:p>
    <w:p w14:paraId="79767E89" w14:textId="7DC716AE" w:rsidR="00664ED9" w:rsidRDefault="00664ED9" w:rsidP="00664ED9">
      <w:pPr>
        <w:spacing w:beforeAutospacing="1" w:after="0" w:afterAutospacing="1" w:line="240" w:lineRule="auto"/>
        <w:ind w:left="720"/>
        <w:rPr>
          <w:rFonts w:ascii="Times New Roman" w:eastAsia="Times New Roman" w:hAnsi="Times New Roman" w:cs="Times New Roman"/>
          <w:sz w:val="24"/>
          <w:szCs w:val="24"/>
          <w:lang w:eastAsia="es-AR"/>
        </w:rPr>
      </w:pPr>
      <w:r w:rsidRPr="00664ED9">
        <w:rPr>
          <w:rFonts w:ascii="Times New Roman" w:eastAsia="Times New Roman" w:hAnsi="Times New Roman" w:cs="Times New Roman"/>
          <w:sz w:val="24"/>
          <w:szCs w:val="24"/>
          <w:lang w:eastAsia="es-AR"/>
        </w:rPr>
        <w:t>DOCX</w:t>
      </w:r>
    </w:p>
    <w:p w14:paraId="04168899" w14:textId="77777777" w:rsidR="00501770" w:rsidRDefault="00501770" w:rsidP="00501770">
      <w:pPr>
        <w:pStyle w:val="NormalWeb"/>
      </w:pPr>
      <w:r>
        <w:rPr>
          <w:b/>
          <w:bCs/>
        </w:rPr>
        <w:t>3. Hallazgos del Relevamiento</w:t>
      </w:r>
    </w:p>
    <w:p w14:paraId="6F82FE0A" w14:textId="77777777" w:rsidR="00501770" w:rsidRDefault="00501770" w:rsidP="00501770">
      <w:pPr>
        <w:pStyle w:val="NormalWeb"/>
        <w:numPr>
          <w:ilvl w:val="0"/>
          <w:numId w:val="11"/>
        </w:numPr>
      </w:pPr>
      <w:r>
        <w:rPr>
          <w:b/>
          <w:bCs/>
        </w:rPr>
        <w:t>Funcionales:</w:t>
      </w:r>
      <w:r>
        <w:t xml:space="preserve"> La plataforma omite el registro del tipo de vehículo utilizado por cada repartidor. El proceso de confirmación del estado de entrega depende exclusivamente de una carga manual del comerciante. El sistema carece de un </w:t>
      </w:r>
      <w:r>
        <w:lastRenderedPageBreak/>
        <w:t>módulo integrado para que el cliente final pueda asentar quejas o sugerencias formales.</w:t>
      </w:r>
    </w:p>
    <w:p w14:paraId="0F58C923" w14:textId="77777777" w:rsidR="00501770" w:rsidRDefault="00501770" w:rsidP="00501770">
      <w:pPr>
        <w:pStyle w:val="NormalWeb"/>
        <w:numPr>
          <w:ilvl w:val="0"/>
          <w:numId w:val="11"/>
        </w:numPr>
      </w:pPr>
      <w:r>
        <w:rPr>
          <w:b/>
          <w:bCs/>
        </w:rPr>
        <w:t>No Funcionales:</w:t>
      </w:r>
      <w:r>
        <w:t xml:space="preserve"> La información tarifaria que expone la interfaz principal resulta inexacta respecto al cobro en la vía pública, generando falsas expectativas en el usuario final.</w:t>
      </w:r>
    </w:p>
    <w:p w14:paraId="5C28EECC" w14:textId="77777777" w:rsidR="00501770" w:rsidRDefault="00501770" w:rsidP="00501770">
      <w:pPr>
        <w:pStyle w:val="NormalWeb"/>
        <w:numPr>
          <w:ilvl w:val="0"/>
          <w:numId w:val="11"/>
        </w:numPr>
      </w:pPr>
      <w:r>
        <w:rPr>
          <w:b/>
          <w:bCs/>
        </w:rPr>
        <w:t>Reglas de Negocio:</w:t>
      </w:r>
      <w:r>
        <w:t xml:space="preserve"> La priorización de pedidos y la asignación logística no obedecen al algoritmo rotativo del sistema, sino a incentivos y tarifas planas ($1500) acordadas en paralelo entre comerciantes y repartidores para asegurar el servicio.</w:t>
      </w:r>
    </w:p>
    <w:p w14:paraId="295DF2F5" w14:textId="77777777" w:rsidR="00501770" w:rsidRDefault="00501770" w:rsidP="00501770">
      <w:pPr>
        <w:pStyle w:val="NormalWeb"/>
        <w:numPr>
          <w:ilvl w:val="0"/>
          <w:numId w:val="11"/>
        </w:numPr>
      </w:pPr>
      <w:r>
        <w:rPr>
          <w:b/>
          <w:bCs/>
        </w:rPr>
        <w:t>Restricciones Técnicas:</w:t>
      </w:r>
      <w:r>
        <w:t xml:space="preserve"> Los tiempos de asignación y traslado son variables críticas; los retrasos operativos degradan irremediablemente el producto gastronómico entregado.</w:t>
      </w:r>
    </w:p>
    <w:p w14:paraId="59BE026D" w14:textId="77777777" w:rsidR="00501770" w:rsidRPr="00664ED9" w:rsidRDefault="00501770" w:rsidP="00664ED9">
      <w:pPr>
        <w:spacing w:beforeAutospacing="1" w:after="0" w:afterAutospacing="1" w:line="240" w:lineRule="auto"/>
        <w:ind w:left="720"/>
        <w:rPr>
          <w:rFonts w:ascii="Times New Roman" w:eastAsia="Times New Roman" w:hAnsi="Times New Roman" w:cs="Times New Roman"/>
          <w:sz w:val="24"/>
          <w:szCs w:val="24"/>
          <w:lang w:eastAsia="es-AR"/>
        </w:rPr>
      </w:pPr>
    </w:p>
    <w:p w14:paraId="6FA7383F" w14:textId="77777777" w:rsidR="00501770" w:rsidRDefault="00501770" w:rsidP="00501770">
      <w:pPr>
        <w:pStyle w:val="NormalWeb"/>
      </w:pPr>
      <w:r>
        <w:rPr>
          <w:b/>
          <w:bCs/>
        </w:rPr>
        <w:t>4. Problemas Identificados</w:t>
      </w:r>
    </w:p>
    <w:p w14:paraId="7D25B4DB" w14:textId="77777777" w:rsidR="00501770" w:rsidRDefault="00501770" w:rsidP="00501770">
      <w:pPr>
        <w:pStyle w:val="NormalWeb"/>
        <w:numPr>
          <w:ilvl w:val="0"/>
          <w:numId w:val="8"/>
        </w:numPr>
      </w:pPr>
      <w:r>
        <w:rPr>
          <w:b/>
          <w:bCs/>
        </w:rPr>
        <w:t>Fricción tarifaria y falta de transparencia:</w:t>
      </w:r>
      <w:r>
        <w:t xml:space="preserve"> El cliente visualiza una estimación de $800 en la interfaz, pero el repartidor le exige un pago real de $1500 en la puerta, demostrando que el calculador oficial está desfasado.</w:t>
      </w:r>
    </w:p>
    <w:p w14:paraId="2A982C06" w14:textId="77777777" w:rsidR="00501770" w:rsidRDefault="00501770" w:rsidP="00501770">
      <w:pPr>
        <w:pStyle w:val="NormalWeb"/>
        <w:numPr>
          <w:ilvl w:val="0"/>
          <w:numId w:val="8"/>
        </w:numPr>
      </w:pPr>
      <w:r>
        <w:rPr>
          <w:b/>
          <w:bCs/>
        </w:rPr>
        <w:t>Congestión administrativa por carga manual:</w:t>
      </w:r>
      <w:r>
        <w:t xml:space="preserve"> El comerciante debe actualizar el estado del pedido a "entregado" de forma manual en la aplicación, un proceso burocrático que resulta inviable y genera inconsistencias durante los horarios de alta demanda.</w:t>
      </w:r>
    </w:p>
    <w:p w14:paraId="2ADD9C67" w14:textId="77777777" w:rsidR="00501770" w:rsidRDefault="00501770" w:rsidP="00501770">
      <w:pPr>
        <w:pStyle w:val="NormalWeb"/>
        <w:numPr>
          <w:ilvl w:val="0"/>
          <w:numId w:val="8"/>
        </w:numPr>
      </w:pPr>
      <w:r>
        <w:rPr>
          <w:b/>
          <w:bCs/>
        </w:rPr>
        <w:t>Asignación logística deficiente:</w:t>
      </w:r>
      <w:r>
        <w:t xml:space="preserve"> La ausencia de datos sobre el tipo de vehículo impide diferenciar el costo operativo real entre una motocicleta y una bicicleta, lo que fomenta el boicot a la tarifa oficial.</w:t>
      </w:r>
    </w:p>
    <w:p w14:paraId="12C5D411" w14:textId="77777777" w:rsidR="00501770" w:rsidRDefault="00501770" w:rsidP="00501770">
      <w:pPr>
        <w:pStyle w:val="NormalWeb"/>
        <w:numPr>
          <w:ilvl w:val="0"/>
          <w:numId w:val="8"/>
        </w:numPr>
      </w:pPr>
      <w:r>
        <w:rPr>
          <w:b/>
          <w:bCs/>
        </w:rPr>
        <w:t>Ausencia de canales de soporte:</w:t>
      </w:r>
      <w:r>
        <w:t xml:space="preserve"> Ante demoras logísticas o cobros con sobreprecio, el usuario final no tiene vías formales en la aplicación para accionar o reportar el problema, viéndose obligado a efectuar reclamos por WhatsApp directamente al comercio.</w:t>
      </w:r>
    </w:p>
    <w:p w14:paraId="4A654FF0" w14:textId="77777777" w:rsidR="00501770" w:rsidRDefault="00501770" w:rsidP="00501770">
      <w:pPr>
        <w:pStyle w:val="NormalWeb"/>
      </w:pPr>
      <w:r>
        <w:rPr>
          <w:b/>
          <w:bCs/>
        </w:rPr>
        <w:t>5. Requerimientos del Sistema</w:t>
      </w:r>
    </w:p>
    <w:p w14:paraId="2BB89A22" w14:textId="77777777" w:rsidR="00501770" w:rsidRDefault="00501770" w:rsidP="00501770">
      <w:pPr>
        <w:pStyle w:val="NormalWeb"/>
        <w:numPr>
          <w:ilvl w:val="0"/>
          <w:numId w:val="9"/>
        </w:numPr>
      </w:pPr>
      <w:r>
        <w:rPr>
          <w:b/>
          <w:bCs/>
        </w:rPr>
        <w:t>REQ-01 (Funcional - Prioridad Alta):</w:t>
      </w:r>
      <w:r>
        <w:t xml:space="preserve"> El sistema debe permitir al repartidor configurar y actualizar el tipo de vehículo utilizado (ej. motocicleta, bicicleta) en su perfil para que el algoritmo lo procese en la asignación de viajes. </w:t>
      </w:r>
      <w:r>
        <w:rPr>
          <w:i/>
          <w:iCs/>
        </w:rPr>
        <w:t>(Vinculado al problema de asignación logística deficiente).</w:t>
      </w:r>
    </w:p>
    <w:p w14:paraId="63FDCC10" w14:textId="77777777" w:rsidR="00501770" w:rsidRDefault="00501770" w:rsidP="00501770">
      <w:pPr>
        <w:pStyle w:val="NormalWeb"/>
        <w:numPr>
          <w:ilvl w:val="0"/>
          <w:numId w:val="9"/>
        </w:numPr>
      </w:pPr>
      <w:r>
        <w:rPr>
          <w:b/>
          <w:bCs/>
        </w:rPr>
        <w:t>REQ-02 (Regla de Negocio - Prioridad Alta):</w:t>
      </w:r>
      <w:r>
        <w:t xml:space="preserve"> El motor de cálculo de envíos debe aplicar una tarifa dinámica y rentable que considere tanto la distancia como el tipo de vehículo, garantizando un piso tarifario que cubra los costos operativos. </w:t>
      </w:r>
      <w:r>
        <w:rPr>
          <w:i/>
          <w:iCs/>
        </w:rPr>
        <w:t>(Vinculado al problema de fricción tarifaria).</w:t>
      </w:r>
    </w:p>
    <w:p w14:paraId="1A8A671E" w14:textId="77777777" w:rsidR="00501770" w:rsidRDefault="00501770" w:rsidP="00501770">
      <w:pPr>
        <w:pStyle w:val="NormalWeb"/>
        <w:numPr>
          <w:ilvl w:val="0"/>
          <w:numId w:val="9"/>
        </w:numPr>
      </w:pPr>
      <w:r>
        <w:rPr>
          <w:b/>
          <w:bCs/>
        </w:rPr>
        <w:t>REQ-03 (Funcional - Prioridad Media):</w:t>
      </w:r>
      <w:r>
        <w:t xml:space="preserve"> El sistema debe automatizar la confirmación de entrega permitiendo que el repartidor modifique el estado a "entregado" desde su propia interfaz móvil, liberando al comercio de esta carga. </w:t>
      </w:r>
      <w:r>
        <w:rPr>
          <w:i/>
          <w:iCs/>
        </w:rPr>
        <w:t>(Vinculado al problema de congestión administrativa).</w:t>
      </w:r>
    </w:p>
    <w:p w14:paraId="4AA2B38D" w14:textId="77777777" w:rsidR="00501770" w:rsidRDefault="00501770" w:rsidP="00501770">
      <w:pPr>
        <w:pStyle w:val="NormalWeb"/>
        <w:numPr>
          <w:ilvl w:val="0"/>
          <w:numId w:val="9"/>
        </w:numPr>
      </w:pPr>
      <w:r>
        <w:rPr>
          <w:b/>
          <w:bCs/>
        </w:rPr>
        <w:t>REQ-04 (Funcional - Prioridad Media):</w:t>
      </w:r>
      <w:r>
        <w:t xml:space="preserve"> La aplicación debe integrar un módulo de soporte al usuario (Mesa de Ayuda) para asentar discrepancias de tarifas o reportar tiempos de demora. </w:t>
      </w:r>
      <w:r>
        <w:rPr>
          <w:i/>
          <w:iCs/>
        </w:rPr>
        <w:t>(Vinculado al problema de ausencia de canales de soporte).</w:t>
      </w:r>
    </w:p>
    <w:p w14:paraId="5ECF1744" w14:textId="77777777" w:rsidR="00501770" w:rsidRDefault="00501770" w:rsidP="00501770">
      <w:pPr>
        <w:pStyle w:val="NormalWeb"/>
      </w:pPr>
      <w:r>
        <w:rPr>
          <w:b/>
          <w:bCs/>
        </w:rPr>
        <w:lastRenderedPageBreak/>
        <w:t>6. Casos de Uso Sugeridos para la Primera Iteración</w:t>
      </w:r>
      <w:r>
        <w:t xml:space="preserve"> La selección para la primera iteración se enfoca en resolver el núcleo crítico del problema: desarticular la economía informal que inutiliza la plataforma.</w:t>
      </w:r>
    </w:p>
    <w:p w14:paraId="49BC6CE3" w14:textId="77777777" w:rsidR="00501770" w:rsidRDefault="00501770" w:rsidP="00501770">
      <w:pPr>
        <w:pStyle w:val="NormalWeb"/>
        <w:numPr>
          <w:ilvl w:val="0"/>
          <w:numId w:val="10"/>
        </w:numPr>
      </w:pPr>
      <w:r>
        <w:rPr>
          <w:b/>
          <w:bCs/>
        </w:rPr>
        <w:t>CU-01: Calcular Tarifa Dinámica.</w:t>
      </w:r>
    </w:p>
    <w:p w14:paraId="5CAA0A7E" w14:textId="77777777" w:rsidR="00501770" w:rsidRDefault="00501770" w:rsidP="00501770">
      <w:pPr>
        <w:pStyle w:val="NormalWeb"/>
        <w:numPr>
          <w:ilvl w:val="1"/>
          <w:numId w:val="10"/>
        </w:numPr>
      </w:pPr>
      <w:r>
        <w:rPr>
          <w:b/>
          <w:bCs/>
        </w:rPr>
        <w:t>Valor (Crítico):</w:t>
      </w:r>
      <w:r>
        <w:t xml:space="preserve"> Ataca directamente el problema central. Sin un cálculo realista y rentable para el repartidor, la aplicación seguirá siendo evadida.</w:t>
      </w:r>
    </w:p>
    <w:p w14:paraId="02616F4D" w14:textId="77777777" w:rsidR="00501770" w:rsidRDefault="00501770" w:rsidP="00501770">
      <w:pPr>
        <w:pStyle w:val="NormalWeb"/>
        <w:numPr>
          <w:ilvl w:val="1"/>
          <w:numId w:val="10"/>
        </w:numPr>
      </w:pPr>
      <w:r>
        <w:rPr>
          <w:b/>
          <w:bCs/>
        </w:rPr>
        <w:t>Riesgo (Alto):</w:t>
      </w:r>
      <w:r>
        <w:t xml:space="preserve"> Requiere una lógica de cálculo precisa; si la nueva tarifa sigue sin cubrir los gastos de transporte, continuarán los arreglos por fuera.</w:t>
      </w:r>
    </w:p>
    <w:p w14:paraId="6EF7832F" w14:textId="77777777" w:rsidR="00501770" w:rsidRDefault="00501770" w:rsidP="00501770">
      <w:pPr>
        <w:pStyle w:val="NormalWeb"/>
        <w:numPr>
          <w:ilvl w:val="1"/>
          <w:numId w:val="10"/>
        </w:numPr>
      </w:pPr>
      <w:r>
        <w:rPr>
          <w:b/>
          <w:bCs/>
        </w:rPr>
        <w:t>Esfuerzo Estimado (Alto):</w:t>
      </w:r>
      <w:r>
        <w:t xml:space="preserve"> Exige rediseñar y programar el núcleo de procesamiento de precios de la aplicación.</w:t>
      </w:r>
    </w:p>
    <w:p w14:paraId="28709458" w14:textId="77777777" w:rsidR="00501770" w:rsidRDefault="00501770" w:rsidP="00501770">
      <w:pPr>
        <w:pStyle w:val="NormalWeb"/>
        <w:numPr>
          <w:ilvl w:val="0"/>
          <w:numId w:val="10"/>
        </w:numPr>
      </w:pPr>
      <w:r>
        <w:rPr>
          <w:b/>
          <w:bCs/>
        </w:rPr>
        <w:t>CU-02: Gestionar Perfil de Vehículo.</w:t>
      </w:r>
    </w:p>
    <w:p w14:paraId="01F7BE87" w14:textId="77777777" w:rsidR="00501770" w:rsidRDefault="00501770" w:rsidP="00501770">
      <w:pPr>
        <w:pStyle w:val="NormalWeb"/>
        <w:numPr>
          <w:ilvl w:val="1"/>
          <w:numId w:val="10"/>
        </w:numPr>
      </w:pPr>
      <w:r>
        <w:rPr>
          <w:b/>
          <w:bCs/>
        </w:rPr>
        <w:t>Valor (Alto):</w:t>
      </w:r>
      <w:r>
        <w:t xml:space="preserve"> Es el habilitador técnico del CU-01. Provee la variable de costo operativo necesaria para calcular la tarifa y permite al cliente identificar visualmente al repartidor en la calle.</w:t>
      </w:r>
    </w:p>
    <w:p w14:paraId="1854EA42" w14:textId="77777777" w:rsidR="00501770" w:rsidRDefault="00501770" w:rsidP="00501770">
      <w:pPr>
        <w:pStyle w:val="NormalWeb"/>
        <w:numPr>
          <w:ilvl w:val="1"/>
          <w:numId w:val="10"/>
        </w:numPr>
      </w:pPr>
      <w:r>
        <w:rPr>
          <w:b/>
          <w:bCs/>
        </w:rPr>
        <w:t>Riesgo (Bajo):</w:t>
      </w:r>
      <w:r>
        <w:t xml:space="preserve"> Desarrollo estándar de interfaz y actualización de datos de usuario.</w:t>
      </w:r>
    </w:p>
    <w:p w14:paraId="0CAB95B6" w14:textId="77777777" w:rsidR="00501770" w:rsidRDefault="00501770" w:rsidP="00501770">
      <w:pPr>
        <w:pStyle w:val="NormalWeb"/>
        <w:numPr>
          <w:ilvl w:val="1"/>
          <w:numId w:val="10"/>
        </w:numPr>
      </w:pPr>
      <w:r>
        <w:rPr>
          <w:b/>
          <w:bCs/>
        </w:rPr>
        <w:t>Esfuerzo Estimado (Bajo):</w:t>
      </w:r>
      <w:r>
        <w:t xml:space="preserve"> Modificación menor en la base de datos y la vista de perfil del repartidor.</w:t>
      </w:r>
    </w:p>
    <w:p w14:paraId="2D9B2648" w14:textId="77777777" w:rsidR="00501770" w:rsidRDefault="00501770" w:rsidP="00501770">
      <w:pPr>
        <w:pStyle w:val="NormalWeb"/>
        <w:numPr>
          <w:ilvl w:val="0"/>
          <w:numId w:val="10"/>
        </w:numPr>
      </w:pPr>
      <w:r>
        <w:rPr>
          <w:b/>
          <w:bCs/>
        </w:rPr>
        <w:t>CU-03: Actualizar Estado de Entrega (Interfaz Repartidor).</w:t>
      </w:r>
    </w:p>
    <w:p w14:paraId="341876B8" w14:textId="77777777" w:rsidR="00501770" w:rsidRDefault="00501770" w:rsidP="00501770">
      <w:pPr>
        <w:pStyle w:val="NormalWeb"/>
        <w:numPr>
          <w:ilvl w:val="1"/>
          <w:numId w:val="10"/>
        </w:numPr>
      </w:pPr>
      <w:r>
        <w:rPr>
          <w:b/>
          <w:bCs/>
        </w:rPr>
        <w:t>Valor (Medio):</w:t>
      </w:r>
      <w:r>
        <w:t xml:space="preserve"> Resuelve la fricción operativa directa de los comerciantes, mejorando la adopción del sistema en los locales físicos durante horas pico.</w:t>
      </w:r>
    </w:p>
    <w:p w14:paraId="298F2D2A" w14:textId="77777777" w:rsidR="00501770" w:rsidRDefault="00501770" w:rsidP="00501770">
      <w:pPr>
        <w:pStyle w:val="NormalWeb"/>
        <w:numPr>
          <w:ilvl w:val="1"/>
          <w:numId w:val="10"/>
        </w:numPr>
      </w:pPr>
      <w:r>
        <w:rPr>
          <w:b/>
          <w:bCs/>
        </w:rPr>
        <w:t>Riesgo (Medio):</w:t>
      </w:r>
      <w:r>
        <w:t xml:space="preserve"> Requiere controles para asegurar que el repartidor no marque entregas falsas de manera prematura.</w:t>
      </w:r>
    </w:p>
    <w:p w14:paraId="74C46033" w14:textId="77777777" w:rsidR="00501770" w:rsidRDefault="00501770" w:rsidP="00501770">
      <w:pPr>
        <w:pStyle w:val="NormalWeb"/>
        <w:numPr>
          <w:ilvl w:val="1"/>
          <w:numId w:val="10"/>
        </w:numPr>
      </w:pPr>
      <w:r>
        <w:rPr>
          <w:b/>
          <w:bCs/>
        </w:rPr>
        <w:t>Esfuerzo Estimado (Medio):</w:t>
      </w:r>
      <w:r>
        <w:t xml:space="preserve"> Traslado de privilegios de actualización de estado y sincronización de bases de datos.</w:t>
      </w:r>
    </w:p>
    <w:p w14:paraId="3C820EB9" w14:textId="77777777" w:rsidR="00091A65" w:rsidRDefault="00091A65"/>
    <w:sectPr w:rsidR="00091A6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804A2"/>
    <w:multiLevelType w:val="multilevel"/>
    <w:tmpl w:val="D63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97CB8"/>
    <w:multiLevelType w:val="multilevel"/>
    <w:tmpl w:val="EE4A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9378B"/>
    <w:multiLevelType w:val="multilevel"/>
    <w:tmpl w:val="1732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4C7331"/>
    <w:multiLevelType w:val="multilevel"/>
    <w:tmpl w:val="D4346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A00ACE"/>
    <w:multiLevelType w:val="multilevel"/>
    <w:tmpl w:val="6826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830566"/>
    <w:multiLevelType w:val="multilevel"/>
    <w:tmpl w:val="7BC8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33147B"/>
    <w:multiLevelType w:val="multilevel"/>
    <w:tmpl w:val="E152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220C41"/>
    <w:multiLevelType w:val="multilevel"/>
    <w:tmpl w:val="9A2E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353D76"/>
    <w:multiLevelType w:val="multilevel"/>
    <w:tmpl w:val="1628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DC5666"/>
    <w:multiLevelType w:val="multilevel"/>
    <w:tmpl w:val="8F52C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7E6842"/>
    <w:multiLevelType w:val="multilevel"/>
    <w:tmpl w:val="EF82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0"/>
  </w:num>
  <w:num w:numId="3">
    <w:abstractNumId w:val="9"/>
  </w:num>
  <w:num w:numId="4">
    <w:abstractNumId w:val="2"/>
  </w:num>
  <w:num w:numId="5">
    <w:abstractNumId w:val="1"/>
  </w:num>
  <w:num w:numId="6">
    <w:abstractNumId w:val="6"/>
  </w:num>
  <w:num w:numId="7">
    <w:abstractNumId w:val="8"/>
  </w:num>
  <w:num w:numId="8">
    <w:abstractNumId w:val="7"/>
  </w:num>
  <w:num w:numId="9">
    <w:abstractNumId w:val="0"/>
  </w:num>
  <w:num w:numId="10">
    <w:abstractNumId w:val="3"/>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ED9"/>
    <w:rsid w:val="00091A65"/>
    <w:rsid w:val="00501770"/>
    <w:rsid w:val="00664ED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44452"/>
  <w15:chartTrackingRefBased/>
  <w15:docId w15:val="{3C3C358D-46D3-4578-BE53-0B98F35FE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664ED9"/>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664ED9"/>
    <w:rPr>
      <w:rFonts w:ascii="Times New Roman" w:eastAsia="Times New Roman" w:hAnsi="Times New Roman" w:cs="Times New Roman"/>
      <w:b/>
      <w:bCs/>
      <w:sz w:val="36"/>
      <w:szCs w:val="36"/>
      <w:lang w:eastAsia="es-AR"/>
    </w:rPr>
  </w:style>
  <w:style w:type="paragraph" w:styleId="NormalWeb">
    <w:name w:val="Normal (Web)"/>
    <w:basedOn w:val="Normal"/>
    <w:uiPriority w:val="99"/>
    <w:semiHidden/>
    <w:unhideWhenUsed/>
    <w:rsid w:val="00664ED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source-title">
    <w:name w:val="source-title"/>
    <w:basedOn w:val="Fuentedeprrafopredeter"/>
    <w:rsid w:val="00664ED9"/>
  </w:style>
  <w:style w:type="character" w:customStyle="1" w:styleId="source-count">
    <w:name w:val="source-count"/>
    <w:basedOn w:val="Fuentedeprrafopredeter"/>
    <w:rsid w:val="00664E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119653">
      <w:bodyDiv w:val="1"/>
      <w:marLeft w:val="0"/>
      <w:marRight w:val="0"/>
      <w:marTop w:val="0"/>
      <w:marBottom w:val="0"/>
      <w:divBdr>
        <w:top w:val="none" w:sz="0" w:space="0" w:color="auto"/>
        <w:left w:val="none" w:sz="0" w:space="0" w:color="auto"/>
        <w:bottom w:val="none" w:sz="0" w:space="0" w:color="auto"/>
        <w:right w:val="none" w:sz="0" w:space="0" w:color="auto"/>
      </w:divBdr>
    </w:div>
    <w:div w:id="1673290651">
      <w:bodyDiv w:val="1"/>
      <w:marLeft w:val="0"/>
      <w:marRight w:val="0"/>
      <w:marTop w:val="0"/>
      <w:marBottom w:val="0"/>
      <w:divBdr>
        <w:top w:val="none" w:sz="0" w:space="0" w:color="auto"/>
        <w:left w:val="none" w:sz="0" w:space="0" w:color="auto"/>
        <w:bottom w:val="none" w:sz="0" w:space="0" w:color="auto"/>
        <w:right w:val="none" w:sz="0" w:space="0" w:color="auto"/>
      </w:divBdr>
    </w:div>
    <w:div w:id="2005158748">
      <w:bodyDiv w:val="1"/>
      <w:marLeft w:val="0"/>
      <w:marRight w:val="0"/>
      <w:marTop w:val="0"/>
      <w:marBottom w:val="0"/>
      <w:divBdr>
        <w:top w:val="none" w:sz="0" w:space="0" w:color="auto"/>
        <w:left w:val="none" w:sz="0" w:space="0" w:color="auto"/>
        <w:bottom w:val="none" w:sz="0" w:space="0" w:color="auto"/>
        <w:right w:val="none" w:sz="0" w:space="0" w:color="auto"/>
      </w:divBdr>
      <w:divsChild>
        <w:div w:id="776174150">
          <w:marLeft w:val="0"/>
          <w:marRight w:val="0"/>
          <w:marTop w:val="0"/>
          <w:marBottom w:val="0"/>
          <w:divBdr>
            <w:top w:val="none" w:sz="0" w:space="0" w:color="auto"/>
            <w:left w:val="none" w:sz="0" w:space="0" w:color="auto"/>
            <w:bottom w:val="none" w:sz="0" w:space="0" w:color="auto"/>
            <w:right w:val="none" w:sz="0" w:space="0" w:color="auto"/>
          </w:divBdr>
          <w:divsChild>
            <w:div w:id="733548559">
              <w:marLeft w:val="0"/>
              <w:marRight w:val="0"/>
              <w:marTop w:val="0"/>
              <w:marBottom w:val="0"/>
              <w:divBdr>
                <w:top w:val="none" w:sz="0" w:space="0" w:color="auto"/>
                <w:left w:val="none" w:sz="0" w:space="0" w:color="auto"/>
                <w:bottom w:val="none" w:sz="0" w:space="0" w:color="auto"/>
                <w:right w:val="none" w:sz="0" w:space="0" w:color="auto"/>
              </w:divBdr>
              <w:divsChild>
                <w:div w:id="1923709742">
                  <w:marLeft w:val="0"/>
                  <w:marRight w:val="0"/>
                  <w:marTop w:val="0"/>
                  <w:marBottom w:val="0"/>
                  <w:divBdr>
                    <w:top w:val="none" w:sz="0" w:space="0" w:color="auto"/>
                    <w:left w:val="none" w:sz="0" w:space="0" w:color="auto"/>
                    <w:bottom w:val="none" w:sz="0" w:space="0" w:color="auto"/>
                    <w:right w:val="none" w:sz="0" w:space="0" w:color="auto"/>
                  </w:divBdr>
                  <w:divsChild>
                    <w:div w:id="217598791">
                      <w:marLeft w:val="0"/>
                      <w:marRight w:val="0"/>
                      <w:marTop w:val="0"/>
                      <w:marBottom w:val="0"/>
                      <w:divBdr>
                        <w:top w:val="none" w:sz="0" w:space="0" w:color="auto"/>
                        <w:left w:val="none" w:sz="0" w:space="0" w:color="auto"/>
                        <w:bottom w:val="none" w:sz="0" w:space="0" w:color="auto"/>
                        <w:right w:val="none" w:sz="0" w:space="0" w:color="auto"/>
                      </w:divBdr>
                    </w:div>
                  </w:divsChild>
                </w:div>
                <w:div w:id="171382740">
                  <w:marLeft w:val="0"/>
                  <w:marRight w:val="0"/>
                  <w:marTop w:val="0"/>
                  <w:marBottom w:val="0"/>
                  <w:divBdr>
                    <w:top w:val="none" w:sz="0" w:space="0" w:color="auto"/>
                    <w:left w:val="none" w:sz="0" w:space="0" w:color="auto"/>
                    <w:bottom w:val="none" w:sz="0" w:space="0" w:color="auto"/>
                    <w:right w:val="none" w:sz="0" w:space="0" w:color="auto"/>
                  </w:divBdr>
                  <w:divsChild>
                    <w:div w:id="1515267408">
                      <w:marLeft w:val="0"/>
                      <w:marRight w:val="0"/>
                      <w:marTop w:val="0"/>
                      <w:marBottom w:val="0"/>
                      <w:divBdr>
                        <w:top w:val="none" w:sz="0" w:space="0" w:color="auto"/>
                        <w:left w:val="none" w:sz="0" w:space="0" w:color="auto"/>
                        <w:bottom w:val="none" w:sz="0" w:space="0" w:color="auto"/>
                        <w:right w:val="none" w:sz="0" w:space="0" w:color="auto"/>
                      </w:divBdr>
                    </w:div>
                  </w:divsChild>
                </w:div>
                <w:div w:id="1176727219">
                  <w:marLeft w:val="0"/>
                  <w:marRight w:val="0"/>
                  <w:marTop w:val="0"/>
                  <w:marBottom w:val="0"/>
                  <w:divBdr>
                    <w:top w:val="none" w:sz="0" w:space="0" w:color="auto"/>
                    <w:left w:val="none" w:sz="0" w:space="0" w:color="auto"/>
                    <w:bottom w:val="none" w:sz="0" w:space="0" w:color="auto"/>
                    <w:right w:val="none" w:sz="0" w:space="0" w:color="auto"/>
                  </w:divBdr>
                  <w:divsChild>
                    <w:div w:id="483590149">
                      <w:marLeft w:val="0"/>
                      <w:marRight w:val="0"/>
                      <w:marTop w:val="0"/>
                      <w:marBottom w:val="0"/>
                      <w:divBdr>
                        <w:top w:val="none" w:sz="0" w:space="0" w:color="auto"/>
                        <w:left w:val="none" w:sz="0" w:space="0" w:color="auto"/>
                        <w:bottom w:val="none" w:sz="0" w:space="0" w:color="auto"/>
                        <w:right w:val="none" w:sz="0" w:space="0" w:color="auto"/>
                      </w:divBdr>
                    </w:div>
                  </w:divsChild>
                </w:div>
                <w:div w:id="394203586">
                  <w:marLeft w:val="0"/>
                  <w:marRight w:val="0"/>
                  <w:marTop w:val="0"/>
                  <w:marBottom w:val="0"/>
                  <w:divBdr>
                    <w:top w:val="none" w:sz="0" w:space="0" w:color="auto"/>
                    <w:left w:val="none" w:sz="0" w:space="0" w:color="auto"/>
                    <w:bottom w:val="none" w:sz="0" w:space="0" w:color="auto"/>
                    <w:right w:val="none" w:sz="0" w:space="0" w:color="auto"/>
                  </w:divBdr>
                  <w:divsChild>
                    <w:div w:id="74282633">
                      <w:marLeft w:val="0"/>
                      <w:marRight w:val="0"/>
                      <w:marTop w:val="0"/>
                      <w:marBottom w:val="0"/>
                      <w:divBdr>
                        <w:top w:val="none" w:sz="0" w:space="0" w:color="auto"/>
                        <w:left w:val="none" w:sz="0" w:space="0" w:color="auto"/>
                        <w:bottom w:val="none" w:sz="0" w:space="0" w:color="auto"/>
                        <w:right w:val="none" w:sz="0" w:space="0" w:color="auto"/>
                      </w:divBdr>
                    </w:div>
                  </w:divsChild>
                </w:div>
                <w:div w:id="1014848204">
                  <w:marLeft w:val="0"/>
                  <w:marRight w:val="0"/>
                  <w:marTop w:val="0"/>
                  <w:marBottom w:val="0"/>
                  <w:divBdr>
                    <w:top w:val="none" w:sz="0" w:space="0" w:color="auto"/>
                    <w:left w:val="none" w:sz="0" w:space="0" w:color="auto"/>
                    <w:bottom w:val="none" w:sz="0" w:space="0" w:color="auto"/>
                    <w:right w:val="none" w:sz="0" w:space="0" w:color="auto"/>
                  </w:divBdr>
                  <w:divsChild>
                    <w:div w:id="1006902589">
                      <w:marLeft w:val="0"/>
                      <w:marRight w:val="0"/>
                      <w:marTop w:val="0"/>
                      <w:marBottom w:val="0"/>
                      <w:divBdr>
                        <w:top w:val="none" w:sz="0" w:space="0" w:color="auto"/>
                        <w:left w:val="none" w:sz="0" w:space="0" w:color="auto"/>
                        <w:bottom w:val="none" w:sz="0" w:space="0" w:color="auto"/>
                        <w:right w:val="none" w:sz="0" w:space="0" w:color="auto"/>
                      </w:divBdr>
                    </w:div>
                  </w:divsChild>
                </w:div>
                <w:div w:id="1239948836">
                  <w:marLeft w:val="0"/>
                  <w:marRight w:val="0"/>
                  <w:marTop w:val="0"/>
                  <w:marBottom w:val="0"/>
                  <w:divBdr>
                    <w:top w:val="none" w:sz="0" w:space="0" w:color="auto"/>
                    <w:left w:val="none" w:sz="0" w:space="0" w:color="auto"/>
                    <w:bottom w:val="none" w:sz="0" w:space="0" w:color="auto"/>
                    <w:right w:val="none" w:sz="0" w:space="0" w:color="auto"/>
                  </w:divBdr>
                  <w:divsChild>
                    <w:div w:id="2050647019">
                      <w:marLeft w:val="0"/>
                      <w:marRight w:val="0"/>
                      <w:marTop w:val="0"/>
                      <w:marBottom w:val="0"/>
                      <w:divBdr>
                        <w:top w:val="none" w:sz="0" w:space="0" w:color="auto"/>
                        <w:left w:val="none" w:sz="0" w:space="0" w:color="auto"/>
                        <w:bottom w:val="none" w:sz="0" w:space="0" w:color="auto"/>
                        <w:right w:val="none" w:sz="0" w:space="0" w:color="auto"/>
                      </w:divBdr>
                    </w:div>
                  </w:divsChild>
                </w:div>
                <w:div w:id="29308724">
                  <w:marLeft w:val="0"/>
                  <w:marRight w:val="0"/>
                  <w:marTop w:val="0"/>
                  <w:marBottom w:val="0"/>
                  <w:divBdr>
                    <w:top w:val="none" w:sz="0" w:space="0" w:color="auto"/>
                    <w:left w:val="none" w:sz="0" w:space="0" w:color="auto"/>
                    <w:bottom w:val="none" w:sz="0" w:space="0" w:color="auto"/>
                    <w:right w:val="none" w:sz="0" w:space="0" w:color="auto"/>
                  </w:divBdr>
                  <w:divsChild>
                    <w:div w:id="1384259139">
                      <w:marLeft w:val="0"/>
                      <w:marRight w:val="0"/>
                      <w:marTop w:val="0"/>
                      <w:marBottom w:val="0"/>
                      <w:divBdr>
                        <w:top w:val="none" w:sz="0" w:space="0" w:color="auto"/>
                        <w:left w:val="none" w:sz="0" w:space="0" w:color="auto"/>
                        <w:bottom w:val="none" w:sz="0" w:space="0" w:color="auto"/>
                        <w:right w:val="none" w:sz="0" w:space="0" w:color="auto"/>
                      </w:divBdr>
                    </w:div>
                  </w:divsChild>
                </w:div>
                <w:div w:id="1370183158">
                  <w:marLeft w:val="0"/>
                  <w:marRight w:val="0"/>
                  <w:marTop w:val="0"/>
                  <w:marBottom w:val="0"/>
                  <w:divBdr>
                    <w:top w:val="none" w:sz="0" w:space="0" w:color="auto"/>
                    <w:left w:val="none" w:sz="0" w:space="0" w:color="auto"/>
                    <w:bottom w:val="none" w:sz="0" w:space="0" w:color="auto"/>
                    <w:right w:val="none" w:sz="0" w:space="0" w:color="auto"/>
                  </w:divBdr>
                  <w:divsChild>
                    <w:div w:id="1411538569">
                      <w:marLeft w:val="0"/>
                      <w:marRight w:val="0"/>
                      <w:marTop w:val="0"/>
                      <w:marBottom w:val="0"/>
                      <w:divBdr>
                        <w:top w:val="none" w:sz="0" w:space="0" w:color="auto"/>
                        <w:left w:val="none" w:sz="0" w:space="0" w:color="auto"/>
                        <w:bottom w:val="none" w:sz="0" w:space="0" w:color="auto"/>
                        <w:right w:val="none" w:sz="0" w:space="0" w:color="auto"/>
                      </w:divBdr>
                    </w:div>
                  </w:divsChild>
                </w:div>
                <w:div w:id="1824472044">
                  <w:marLeft w:val="0"/>
                  <w:marRight w:val="0"/>
                  <w:marTop w:val="0"/>
                  <w:marBottom w:val="0"/>
                  <w:divBdr>
                    <w:top w:val="none" w:sz="0" w:space="0" w:color="auto"/>
                    <w:left w:val="none" w:sz="0" w:space="0" w:color="auto"/>
                    <w:bottom w:val="none" w:sz="0" w:space="0" w:color="auto"/>
                    <w:right w:val="none" w:sz="0" w:space="0" w:color="auto"/>
                  </w:divBdr>
                  <w:divsChild>
                    <w:div w:id="1370380390">
                      <w:marLeft w:val="0"/>
                      <w:marRight w:val="0"/>
                      <w:marTop w:val="0"/>
                      <w:marBottom w:val="0"/>
                      <w:divBdr>
                        <w:top w:val="none" w:sz="0" w:space="0" w:color="auto"/>
                        <w:left w:val="none" w:sz="0" w:space="0" w:color="auto"/>
                        <w:bottom w:val="none" w:sz="0" w:space="0" w:color="auto"/>
                        <w:right w:val="none" w:sz="0" w:space="0" w:color="auto"/>
                      </w:divBdr>
                    </w:div>
                  </w:divsChild>
                </w:div>
                <w:div w:id="1304391913">
                  <w:marLeft w:val="0"/>
                  <w:marRight w:val="0"/>
                  <w:marTop w:val="0"/>
                  <w:marBottom w:val="0"/>
                  <w:divBdr>
                    <w:top w:val="none" w:sz="0" w:space="0" w:color="auto"/>
                    <w:left w:val="none" w:sz="0" w:space="0" w:color="auto"/>
                    <w:bottom w:val="none" w:sz="0" w:space="0" w:color="auto"/>
                    <w:right w:val="none" w:sz="0" w:space="0" w:color="auto"/>
                  </w:divBdr>
                  <w:divsChild>
                    <w:div w:id="1896238818">
                      <w:marLeft w:val="0"/>
                      <w:marRight w:val="0"/>
                      <w:marTop w:val="0"/>
                      <w:marBottom w:val="0"/>
                      <w:divBdr>
                        <w:top w:val="none" w:sz="0" w:space="0" w:color="auto"/>
                        <w:left w:val="none" w:sz="0" w:space="0" w:color="auto"/>
                        <w:bottom w:val="none" w:sz="0" w:space="0" w:color="auto"/>
                        <w:right w:val="none" w:sz="0" w:space="0" w:color="auto"/>
                      </w:divBdr>
                    </w:div>
                  </w:divsChild>
                </w:div>
                <w:div w:id="1706367952">
                  <w:marLeft w:val="0"/>
                  <w:marRight w:val="0"/>
                  <w:marTop w:val="0"/>
                  <w:marBottom w:val="0"/>
                  <w:divBdr>
                    <w:top w:val="none" w:sz="0" w:space="0" w:color="auto"/>
                    <w:left w:val="none" w:sz="0" w:space="0" w:color="auto"/>
                    <w:bottom w:val="none" w:sz="0" w:space="0" w:color="auto"/>
                    <w:right w:val="none" w:sz="0" w:space="0" w:color="auto"/>
                  </w:divBdr>
                  <w:divsChild>
                    <w:div w:id="1033072073">
                      <w:marLeft w:val="0"/>
                      <w:marRight w:val="0"/>
                      <w:marTop w:val="0"/>
                      <w:marBottom w:val="0"/>
                      <w:divBdr>
                        <w:top w:val="none" w:sz="0" w:space="0" w:color="auto"/>
                        <w:left w:val="none" w:sz="0" w:space="0" w:color="auto"/>
                        <w:bottom w:val="none" w:sz="0" w:space="0" w:color="auto"/>
                        <w:right w:val="none" w:sz="0" w:space="0" w:color="auto"/>
                      </w:divBdr>
                    </w:div>
                  </w:divsChild>
                </w:div>
                <w:div w:id="1181891374">
                  <w:marLeft w:val="0"/>
                  <w:marRight w:val="0"/>
                  <w:marTop w:val="0"/>
                  <w:marBottom w:val="0"/>
                  <w:divBdr>
                    <w:top w:val="none" w:sz="0" w:space="0" w:color="auto"/>
                    <w:left w:val="none" w:sz="0" w:space="0" w:color="auto"/>
                    <w:bottom w:val="none" w:sz="0" w:space="0" w:color="auto"/>
                    <w:right w:val="none" w:sz="0" w:space="0" w:color="auto"/>
                  </w:divBdr>
                  <w:divsChild>
                    <w:div w:id="107940499">
                      <w:marLeft w:val="0"/>
                      <w:marRight w:val="0"/>
                      <w:marTop w:val="0"/>
                      <w:marBottom w:val="0"/>
                      <w:divBdr>
                        <w:top w:val="none" w:sz="0" w:space="0" w:color="auto"/>
                        <w:left w:val="none" w:sz="0" w:space="0" w:color="auto"/>
                        <w:bottom w:val="none" w:sz="0" w:space="0" w:color="auto"/>
                        <w:right w:val="none" w:sz="0" w:space="0" w:color="auto"/>
                      </w:divBdr>
                    </w:div>
                  </w:divsChild>
                </w:div>
                <w:div w:id="1381520274">
                  <w:marLeft w:val="0"/>
                  <w:marRight w:val="0"/>
                  <w:marTop w:val="0"/>
                  <w:marBottom w:val="0"/>
                  <w:divBdr>
                    <w:top w:val="none" w:sz="0" w:space="0" w:color="auto"/>
                    <w:left w:val="none" w:sz="0" w:space="0" w:color="auto"/>
                    <w:bottom w:val="none" w:sz="0" w:space="0" w:color="auto"/>
                    <w:right w:val="none" w:sz="0" w:space="0" w:color="auto"/>
                  </w:divBdr>
                  <w:divsChild>
                    <w:div w:id="214029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966</Words>
  <Characters>5313</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hartwig</dc:creator>
  <cp:keywords/>
  <dc:description/>
  <cp:lastModifiedBy>joaquin hartwig</cp:lastModifiedBy>
  <cp:revision>2</cp:revision>
  <dcterms:created xsi:type="dcterms:W3CDTF">2026-09-23T18:11:00Z</dcterms:created>
  <dcterms:modified xsi:type="dcterms:W3CDTF">2026-09-23T19:07:00Z</dcterms:modified>
</cp:coreProperties>
</file>