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23A22"/>
          <w:sz w:val="34"/>
          <w:szCs w:val="34"/>
        </w:rPr>
        <w:t xml:space="preserve">CONVENIO DE COLABORACIÓN TÉCNICO-CIENTÍFICA Y COMERCIAL</w:t>
      </w:r>
    </w:p>
    <w:p>
      <w:pPr>
        <w:spacing w:after="240"/>
        <w:jc w:val="center"/>
      </w:pPr>
      <w:r>
        <w:rPr>
          <w:rFonts w:ascii="Calibri" w:cs="Calibri" w:eastAsia="Calibri" w:hAnsi="Calibri"/>
          <w:caps/>
          <w:color w:val="6A756C"/>
          <w:sz w:val="22"/>
          <w:szCs w:val="22"/>
        </w:rPr>
        <w:t xml:space="preserve">BioAgroSolutions · Línea Green Science  —  Instituto Tecnológico de Uriondo</w:t>
      </w:r>
    </w:p>
    <w:p>
      <w:pPr>
        <w:spacing w:after="120" w:line="276"/>
        <w:jc w:val="both"/>
      </w:pPr>
      <w:r>
        <w:rPr>
          <w:rFonts w:ascii="Calibri" w:cs="Calibri" w:eastAsia="Calibri" w:hAnsi="Calibri"/>
          <w:sz w:val="22"/>
          <w:szCs w:val="22"/>
        </w:rPr>
        <w:t xml:space="preserve">En la localidad de Uriondo, Departamento de Tarija, a los </w:t>
      </w:r>
      <w:r>
        <w:rPr>
          <w:rFonts w:ascii="Calibri" w:cs="Calibri" w:eastAsia="Calibri" w:hAnsi="Calibri"/>
          <w:color w:val="333333"/>
          <w:sz w:val="22"/>
          <w:szCs w:val="22"/>
        </w:rPr>
        <w:t xml:space="preserve">____</w:t>
      </w:r>
      <w:r>
        <w:rPr>
          <w:rFonts w:ascii="Calibri" w:cs="Calibri" w:eastAsia="Calibri" w:hAnsi="Calibri"/>
          <w:sz w:val="22"/>
          <w:szCs w:val="22"/>
        </w:rPr>
        <w:t xml:space="preserve"> días del mes de </w:t>
      </w:r>
      <w:r>
        <w:rPr>
          <w:rFonts w:ascii="Calibri" w:cs="Calibri" w:eastAsia="Calibri" w:hAnsi="Calibri"/>
          <w:color w:val="333333"/>
          <w:sz w:val="22"/>
          <w:szCs w:val="22"/>
        </w:rPr>
        <w:t xml:space="preserve">______________</w:t>
      </w:r>
      <w:r>
        <w:rPr>
          <w:rFonts w:ascii="Calibri" w:cs="Calibri" w:eastAsia="Calibri" w:hAnsi="Calibri"/>
          <w:sz w:val="22"/>
          <w:szCs w:val="22"/>
        </w:rPr>
        <w:t xml:space="preserve"> de </w:t>
      </w:r>
      <w:r>
        <w:rPr>
          <w:rFonts w:ascii="Calibri" w:cs="Calibri" w:eastAsia="Calibri" w:hAnsi="Calibri"/>
          <w:color w:val="333333"/>
          <w:sz w:val="22"/>
          <w:szCs w:val="22"/>
        </w:rPr>
        <w:t xml:space="preserve">20__</w:t>
      </w:r>
      <w:r>
        <w:rPr>
          <w:rFonts w:ascii="Calibri" w:cs="Calibri" w:eastAsia="Calibri" w:hAnsi="Calibri"/>
          <w:sz w:val="22"/>
          <w:szCs w:val="22"/>
        </w:rPr>
        <w:t xml:space="preserve">, entre las partes que se identifican a continuación, se celebra el presente Convenio de Colaboración (en adelante, «el Convenio»), que se regirá por las siguientes cláusulas:</w:t>
      </w:r>
    </w:p>
    <w:p>
      <w:pPr>
        <w:keepNext/>
        <w:spacing w:after="80" w:before="220"/>
      </w:pPr>
      <w:r>
        <w:rPr>
          <w:rFonts w:ascii="Calibri" w:cs="Calibri" w:eastAsia="Calibri" w:hAnsi="Calibri"/>
          <w:b/>
          <w:bCs/>
          <w:color w:val="1E5A2E"/>
          <w:sz w:val="23"/>
          <w:szCs w:val="23"/>
        </w:rPr>
        <w:t xml:space="preserve">CLÁUSULA PRIMERA — DE LAS PARTES</w:t>
      </w:r>
    </w:p>
    <w:p>
      <w:pPr>
        <w:spacing w:after="120" w:line="276"/>
        <w:jc w:val="both"/>
      </w:pPr>
      <w:r>
        <w:rPr>
          <w:rFonts w:ascii="Calibri" w:cs="Calibri" w:eastAsia="Calibri" w:hAnsi="Calibri"/>
          <w:b/>
          <w:bCs/>
          <w:sz w:val="22"/>
          <w:szCs w:val="22"/>
        </w:rPr>
        <w:t xml:space="preserve">Por una parte, </w:t>
      </w:r>
      <w:r>
        <w:rPr>
          <w:rFonts w:ascii="Calibri" w:cs="Calibri" w:eastAsia="Calibri" w:hAnsi="Calibri"/>
          <w:b/>
          <w:bCs/>
          <w:sz w:val="22"/>
          <w:szCs w:val="22"/>
        </w:rPr>
        <w:t xml:space="preserve">BioAgroSolutions</w:t>
      </w:r>
      <w:r>
        <w:rPr>
          <w:rFonts w:ascii="Calibri" w:cs="Calibri" w:eastAsia="Calibri" w:hAnsi="Calibri"/>
          <w:sz w:val="22"/>
          <w:szCs w:val="22"/>
        </w:rPr>
        <w:t xml:space="preserve"> — Línea Green Science (en adelante, «la Empresa»), con domicilio en </w:t>
      </w:r>
      <w:r>
        <w:rPr>
          <w:rFonts w:ascii="Calibri" w:cs="Calibri" w:eastAsia="Calibri" w:hAnsi="Calibri"/>
          <w:color w:val="333333"/>
          <w:sz w:val="22"/>
          <w:szCs w:val="22"/>
        </w:rPr>
        <w:t xml:space="preserve">__________________________</w:t>
      </w:r>
      <w:r>
        <w:rPr>
          <w:rFonts w:ascii="Calibri" w:cs="Calibri" w:eastAsia="Calibri" w:hAnsi="Calibri"/>
          <w:sz w:val="22"/>
          <w:szCs w:val="22"/>
        </w:rPr>
        <w:t xml:space="preserve">, representada por </w:t>
      </w:r>
      <w:r>
        <w:rPr>
          <w:rFonts w:ascii="Calibri" w:cs="Calibri" w:eastAsia="Calibri" w:hAnsi="Calibri"/>
          <w:color w:val="333333"/>
          <w:sz w:val="22"/>
          <w:szCs w:val="22"/>
        </w:rPr>
        <w:t xml:space="preserve">__________________________</w:t>
      </w:r>
      <w:r>
        <w:rPr>
          <w:rFonts w:ascii="Calibri" w:cs="Calibri" w:eastAsia="Calibri" w:hAnsi="Calibri"/>
          <w:sz w:val="22"/>
          <w:szCs w:val="22"/>
        </w:rPr>
        <w:t xml:space="preserve">, en su carácter de </w:t>
      </w:r>
      <w:r>
        <w:rPr>
          <w:rFonts w:ascii="Calibri" w:cs="Calibri" w:eastAsia="Calibri" w:hAnsi="Calibri"/>
          <w:color w:val="333333"/>
          <w:sz w:val="22"/>
          <w:szCs w:val="22"/>
        </w:rPr>
        <w:t xml:space="preserve">______________</w:t>
      </w:r>
      <w:r>
        <w:rPr>
          <w:rFonts w:ascii="Calibri" w:cs="Calibri" w:eastAsia="Calibri" w:hAnsi="Calibri"/>
          <w:sz w:val="22"/>
          <w:szCs w:val="22"/>
        </w:rPr>
        <w:t xml:space="preserve">.</w:t>
      </w:r>
    </w:p>
    <w:p>
      <w:pPr>
        <w:spacing w:after="120" w:line="276"/>
        <w:jc w:val="both"/>
      </w:pPr>
      <w:r>
        <w:rPr>
          <w:rFonts w:ascii="Calibri" w:cs="Calibri" w:eastAsia="Calibri" w:hAnsi="Calibri"/>
          <w:b/>
          <w:bCs/>
          <w:sz w:val="22"/>
          <w:szCs w:val="22"/>
        </w:rPr>
        <w:t xml:space="preserve">Por la otra parte, el </w:t>
      </w:r>
      <w:r>
        <w:rPr>
          <w:rFonts w:ascii="Calibri" w:cs="Calibri" w:eastAsia="Calibri" w:hAnsi="Calibri"/>
          <w:b/>
          <w:bCs/>
          <w:sz w:val="22"/>
          <w:szCs w:val="22"/>
        </w:rPr>
        <w:t xml:space="preserve">Instituto Tecnológico de Uriondo</w:t>
      </w:r>
      <w:r>
        <w:rPr>
          <w:rFonts w:ascii="Calibri" w:cs="Calibri" w:eastAsia="Calibri" w:hAnsi="Calibri"/>
          <w:sz w:val="22"/>
          <w:szCs w:val="22"/>
        </w:rPr>
        <w:t xml:space="preserve"> (en adelante, «el Instituto»), con domicilio en </w:t>
      </w:r>
      <w:r>
        <w:rPr>
          <w:rFonts w:ascii="Calibri" w:cs="Calibri" w:eastAsia="Calibri" w:hAnsi="Calibri"/>
          <w:color w:val="333333"/>
          <w:sz w:val="22"/>
          <w:szCs w:val="22"/>
        </w:rPr>
        <w:t xml:space="preserve">__________________________</w:t>
      </w:r>
      <w:r>
        <w:rPr>
          <w:rFonts w:ascii="Calibri" w:cs="Calibri" w:eastAsia="Calibri" w:hAnsi="Calibri"/>
          <w:sz w:val="22"/>
          <w:szCs w:val="22"/>
        </w:rPr>
        <w:t xml:space="preserve">, representado por </w:t>
      </w:r>
      <w:r>
        <w:rPr>
          <w:rFonts w:ascii="Calibri" w:cs="Calibri" w:eastAsia="Calibri" w:hAnsi="Calibri"/>
          <w:color w:val="333333"/>
          <w:sz w:val="22"/>
          <w:szCs w:val="22"/>
        </w:rPr>
        <w:t xml:space="preserve">__________________________</w:t>
      </w:r>
      <w:r>
        <w:rPr>
          <w:rFonts w:ascii="Calibri" w:cs="Calibri" w:eastAsia="Calibri" w:hAnsi="Calibri"/>
          <w:sz w:val="22"/>
          <w:szCs w:val="22"/>
        </w:rPr>
        <w:t xml:space="preserve">, en su carácter de </w:t>
      </w:r>
      <w:r>
        <w:rPr>
          <w:rFonts w:ascii="Calibri" w:cs="Calibri" w:eastAsia="Calibri" w:hAnsi="Calibri"/>
          <w:color w:val="333333"/>
          <w:sz w:val="22"/>
          <w:szCs w:val="22"/>
        </w:rPr>
        <w:t xml:space="preserve">______________</w:t>
      </w:r>
      <w:r>
        <w:rPr>
          <w:rFonts w:ascii="Calibri" w:cs="Calibri" w:eastAsia="Calibri" w:hAnsi="Calibri"/>
          <w:sz w:val="22"/>
          <w:szCs w:val="22"/>
        </w:rPr>
        <w:t xml:space="preserve">.</w:t>
      </w:r>
    </w:p>
    <w:p>
      <w:pPr>
        <w:spacing w:after="120" w:line="276"/>
        <w:jc w:val="both"/>
      </w:pPr>
      <w:r>
        <w:rPr>
          <w:rFonts w:ascii="Calibri" w:cs="Calibri" w:eastAsia="Calibri" w:hAnsi="Calibri"/>
          <w:sz w:val="22"/>
          <w:szCs w:val="22"/>
        </w:rPr>
        <w:t xml:space="preserve">Ambas partes se reconocen recíprocamente la capacidad legal necesaria para celebrar el presente Convenio y, en su mérito, acuerdan lo siguiente.</w:t>
      </w:r>
    </w:p>
    <w:p>
      <w:pPr>
        <w:keepNext/>
        <w:spacing w:after="80" w:before="220"/>
      </w:pPr>
      <w:r>
        <w:rPr>
          <w:rFonts w:ascii="Calibri" w:cs="Calibri" w:eastAsia="Calibri" w:hAnsi="Calibri"/>
          <w:b/>
          <w:bCs/>
          <w:color w:val="1E5A2E"/>
          <w:sz w:val="23"/>
          <w:szCs w:val="23"/>
        </w:rPr>
        <w:t xml:space="preserve">CLÁUSULA SEGUNDA — OBJETO DEL CONVENIO</w:t>
      </w:r>
    </w:p>
    <w:p>
      <w:pPr>
        <w:spacing w:after="120" w:line="276"/>
        <w:jc w:val="both"/>
      </w:pPr>
      <w:r>
        <w:rPr>
          <w:rFonts w:ascii="Calibri" w:cs="Calibri" w:eastAsia="Calibri" w:hAnsi="Calibri"/>
          <w:sz w:val="22"/>
          <w:szCs w:val="22"/>
        </w:rPr>
        <w:t xml:space="preserve">El presente Convenio tiene por objeto establecer un marco de colaboración técnico-científica y comercial entre las partes para el desarrollo de ensayos demostrativos, el relevamiento de datos a campo, el testeo, seguimiento y alerta temprana de patologías, y la generación de información técnica que respalde el uso y la comercialización de los bioinsumos de la Línea Green Science. El Instituto actuará como unidad de evaluación, medición y validación de resultados, tanto en sus parcelas experimentales como en los campos de productores que requieran su intervención.</w:t>
      </w:r>
    </w:p>
    <w:p>
      <w:pPr>
        <w:keepNext/>
        <w:spacing w:after="80" w:before="220"/>
      </w:pPr>
      <w:r>
        <w:rPr>
          <w:rFonts w:ascii="Calibri" w:cs="Calibri" w:eastAsia="Calibri" w:hAnsi="Calibri"/>
          <w:b/>
          <w:bCs/>
          <w:color w:val="1E5A2E"/>
          <w:sz w:val="23"/>
          <w:szCs w:val="23"/>
        </w:rPr>
        <w:t xml:space="preserve">CLÁUSULA TERCERA — APORTES DE LA EMPRESA</w:t>
      </w:r>
    </w:p>
    <w:p>
      <w:pPr>
        <w:spacing w:after="120" w:line="276"/>
        <w:jc w:val="both"/>
      </w:pPr>
      <w:r>
        <w:rPr>
          <w:rFonts w:ascii="Calibri" w:cs="Calibri" w:eastAsia="Calibri" w:hAnsi="Calibri"/>
          <w:sz w:val="22"/>
          <w:szCs w:val="22"/>
        </w:rPr>
        <w:t xml:space="preserve">La Empresa se compromete a:</w:t>
      </w:r>
    </w:p>
    <w:p>
      <w:pPr>
        <w:pStyle w:val="ListParagraph"/>
        <w:numPr>
          <w:ilvl w:val="0"/>
          <w:numId w:val="2"/>
        </w:numPr>
        <w:spacing w:after="70" w:line="270"/>
        <w:jc w:val="both"/>
      </w:pPr>
      <w:r>
        <w:rPr>
          <w:rFonts w:ascii="Calibri" w:cs="Calibri" w:eastAsia="Calibri" w:hAnsi="Calibri"/>
          <w:b/>
          <w:bCs/>
          <w:color w:val="123A22"/>
          <w:sz w:val="22"/>
          <w:szCs w:val="22"/>
        </w:rPr>
        <w:t xml:space="preserve">a) </w:t>
      </w:r>
      <w:r>
        <w:rPr>
          <w:rFonts w:ascii="Calibri" w:cs="Calibri" w:eastAsia="Calibri" w:hAnsi="Calibri"/>
          <w:sz w:val="22"/>
          <w:szCs w:val="22"/>
        </w:rPr>
        <w:t xml:space="preserve">Entregar sin cargo los productos de la Línea Green Science necesarios para las parcelas experimentales del Instituto, en la cantidad suficiente para ejecutar el plan de aplicación acordado.</w:t>
      </w:r>
    </w:p>
    <w:p>
      <w:pPr>
        <w:pStyle w:val="ListParagraph"/>
        <w:numPr>
          <w:ilvl w:val="0"/>
          <w:numId w:val="2"/>
        </w:numPr>
        <w:spacing w:after="70" w:line="270"/>
        <w:jc w:val="both"/>
      </w:pPr>
      <w:r>
        <w:rPr>
          <w:rFonts w:ascii="Calibri" w:cs="Calibri" w:eastAsia="Calibri" w:hAnsi="Calibri"/>
          <w:b/>
          <w:bCs/>
          <w:color w:val="123A22"/>
          <w:sz w:val="22"/>
          <w:szCs w:val="22"/>
        </w:rPr>
        <w:t xml:space="preserve">b) </w:t>
      </w:r>
      <w:r>
        <w:rPr>
          <w:rFonts w:ascii="Calibri" w:cs="Calibri" w:eastAsia="Calibri" w:hAnsi="Calibri"/>
          <w:sz w:val="22"/>
          <w:szCs w:val="22"/>
        </w:rPr>
        <w:t xml:space="preserve">Capacitar y direccionar técnicamente al personal del Instituto sobre qué aspectos tener en cuenta y cómo realizarlos, conforme a la Cláusula Sexta.</w:t>
      </w:r>
    </w:p>
    <w:p>
      <w:pPr>
        <w:pStyle w:val="ListParagraph"/>
        <w:numPr>
          <w:ilvl w:val="0"/>
          <w:numId w:val="2"/>
        </w:numPr>
        <w:spacing w:after="70" w:line="270"/>
        <w:jc w:val="both"/>
      </w:pPr>
      <w:r>
        <w:rPr>
          <w:rFonts w:ascii="Calibri" w:cs="Calibri" w:eastAsia="Calibri" w:hAnsi="Calibri"/>
          <w:b/>
          <w:bCs/>
          <w:color w:val="123A22"/>
          <w:sz w:val="22"/>
          <w:szCs w:val="22"/>
        </w:rPr>
        <w:t xml:space="preserve">c) </w:t>
      </w:r>
      <w:r>
        <w:rPr>
          <w:rFonts w:ascii="Calibri" w:cs="Calibri" w:eastAsia="Calibri" w:hAnsi="Calibri"/>
          <w:sz w:val="22"/>
          <w:szCs w:val="22"/>
        </w:rPr>
        <w:t xml:space="preserve">Proveer el protocolo de relevamiento de datos, la agenda de aplicación y el acompañamiento técnico durante toda la campaña.</w:t>
      </w:r>
    </w:p>
    <w:p>
      <w:pPr>
        <w:pStyle w:val="ListParagraph"/>
        <w:numPr>
          <w:ilvl w:val="0"/>
          <w:numId w:val="2"/>
        </w:numPr>
        <w:spacing w:after="70" w:line="270"/>
        <w:jc w:val="both"/>
      </w:pPr>
      <w:r>
        <w:rPr>
          <w:rFonts w:ascii="Calibri" w:cs="Calibri" w:eastAsia="Calibri" w:hAnsi="Calibri"/>
          <w:b/>
          <w:bCs/>
          <w:color w:val="123A22"/>
          <w:sz w:val="22"/>
          <w:szCs w:val="22"/>
        </w:rPr>
        <w:t xml:space="preserve">d) </w:t>
      </w:r>
      <w:r>
        <w:rPr>
          <w:rFonts w:ascii="Calibri" w:cs="Calibri" w:eastAsia="Calibri" w:hAnsi="Calibri"/>
          <w:sz w:val="22"/>
          <w:szCs w:val="22"/>
        </w:rPr>
        <w:t xml:space="preserve">Brindar soporte ante consultas y coordinar las visitas técnicas conjuntas.</w:t>
      </w:r>
    </w:p>
    <w:p>
      <w:pPr>
        <w:keepNext/>
        <w:spacing w:after="80" w:before="220"/>
      </w:pPr>
      <w:r>
        <w:rPr>
          <w:rFonts w:ascii="Calibri" w:cs="Calibri" w:eastAsia="Calibri" w:hAnsi="Calibri"/>
          <w:b/>
          <w:bCs/>
          <w:color w:val="1E5A2E"/>
          <w:sz w:val="23"/>
          <w:szCs w:val="23"/>
        </w:rPr>
        <w:t xml:space="preserve">CLÁUSULA CUARTA — OBLIGACIONES DEL INSTITUTO</w:t>
      </w:r>
    </w:p>
    <w:p>
      <w:pPr>
        <w:spacing w:after="120" w:line="276"/>
        <w:jc w:val="both"/>
      </w:pPr>
      <w:r>
        <w:rPr>
          <w:rFonts w:ascii="Calibri" w:cs="Calibri" w:eastAsia="Calibri" w:hAnsi="Calibri"/>
          <w:sz w:val="22"/>
          <w:szCs w:val="22"/>
        </w:rPr>
        <w:t xml:space="preserve">El Instituto se compromete a:</w:t>
      </w:r>
    </w:p>
    <w:p>
      <w:pPr>
        <w:pStyle w:val="ListParagraph"/>
        <w:numPr>
          <w:ilvl w:val="0"/>
          <w:numId w:val="2"/>
        </w:numPr>
        <w:spacing w:after="70" w:line="270"/>
        <w:jc w:val="both"/>
      </w:pPr>
      <w:r>
        <w:rPr>
          <w:rFonts w:ascii="Calibri" w:cs="Calibri" w:eastAsia="Calibri" w:hAnsi="Calibri"/>
          <w:b/>
          <w:bCs/>
          <w:color w:val="123A22"/>
          <w:sz w:val="22"/>
          <w:szCs w:val="22"/>
        </w:rPr>
        <w:t xml:space="preserve">a) </w:t>
      </w:r>
      <w:r>
        <w:rPr>
          <w:rFonts w:ascii="Calibri" w:cs="Calibri" w:eastAsia="Calibri" w:hAnsi="Calibri"/>
          <w:sz w:val="22"/>
          <w:szCs w:val="22"/>
        </w:rPr>
        <w:t xml:space="preserve">Ejecutar los ensayos en sus parcelas experimentales y en las parcelas testigo, respetando la agenda de aplicación y la metodología acordadas.</w:t>
      </w:r>
    </w:p>
    <w:p>
      <w:pPr>
        <w:pStyle w:val="ListParagraph"/>
        <w:numPr>
          <w:ilvl w:val="0"/>
          <w:numId w:val="2"/>
        </w:numPr>
        <w:spacing w:after="70" w:line="270"/>
        <w:jc w:val="both"/>
      </w:pPr>
      <w:r>
        <w:rPr>
          <w:rFonts w:ascii="Calibri" w:cs="Calibri" w:eastAsia="Calibri" w:hAnsi="Calibri"/>
          <w:b/>
          <w:bCs/>
          <w:color w:val="123A22"/>
          <w:sz w:val="22"/>
          <w:szCs w:val="22"/>
        </w:rPr>
        <w:t xml:space="preserve">b) </w:t>
      </w:r>
      <w:r>
        <w:rPr>
          <w:rFonts w:ascii="Calibri" w:cs="Calibri" w:eastAsia="Calibri" w:hAnsi="Calibri"/>
          <w:sz w:val="22"/>
          <w:szCs w:val="22"/>
        </w:rPr>
        <w:t xml:space="preserve">Realizar el relevamiento de datos, los testeos, el seguimiento y la alerta temprana de cualquier tipo de patología, conforme a la Cláusula Quinta.</w:t>
      </w:r>
    </w:p>
    <w:p>
      <w:pPr>
        <w:pStyle w:val="ListParagraph"/>
        <w:numPr>
          <w:ilvl w:val="0"/>
          <w:numId w:val="2"/>
        </w:numPr>
        <w:spacing w:after="70" w:line="270"/>
        <w:jc w:val="both"/>
      </w:pPr>
      <w:r>
        <w:rPr>
          <w:rFonts w:ascii="Calibri" w:cs="Calibri" w:eastAsia="Calibri" w:hAnsi="Calibri"/>
          <w:b/>
          <w:bCs/>
          <w:color w:val="123A22"/>
          <w:sz w:val="22"/>
          <w:szCs w:val="22"/>
        </w:rPr>
        <w:t xml:space="preserve">c) </w:t>
      </w:r>
      <w:r>
        <w:rPr>
          <w:rFonts w:ascii="Calibri" w:cs="Calibri" w:eastAsia="Calibri" w:hAnsi="Calibri"/>
          <w:sz w:val="22"/>
          <w:szCs w:val="22"/>
        </w:rPr>
        <w:t xml:space="preserve">Entregar dicho relevamiento sin cargo adicional para la Empresa, en contraprestación por los productos recibidos sin costo. El producto entregado y el relevamiento constituyen un intercambio recíproco entre las partes.</w:t>
      </w:r>
    </w:p>
    <w:p>
      <w:pPr>
        <w:pStyle w:val="ListParagraph"/>
        <w:numPr>
          <w:ilvl w:val="0"/>
          <w:numId w:val="2"/>
        </w:numPr>
        <w:spacing w:after="70" w:line="270"/>
        <w:jc w:val="both"/>
      </w:pPr>
      <w:r>
        <w:rPr>
          <w:rFonts w:ascii="Calibri" w:cs="Calibri" w:eastAsia="Calibri" w:hAnsi="Calibri"/>
          <w:b/>
          <w:bCs/>
          <w:color w:val="123A22"/>
          <w:sz w:val="22"/>
          <w:szCs w:val="22"/>
        </w:rPr>
        <w:t xml:space="preserve">d) </w:t>
      </w:r>
      <w:r>
        <w:rPr>
          <w:rFonts w:ascii="Calibri" w:cs="Calibri" w:eastAsia="Calibri" w:hAnsi="Calibri"/>
          <w:sz w:val="22"/>
          <w:szCs w:val="22"/>
        </w:rPr>
        <w:t xml:space="preserve">Informar a la Empresa los productos e insumos que se estén utilizando —propios o de terceros— y quién los aplica, a los efectos de la Cláusula Octava (compatibilidad).</w:t>
      </w:r>
    </w:p>
    <w:p>
      <w:pPr>
        <w:pStyle w:val="ListParagraph"/>
        <w:numPr>
          <w:ilvl w:val="0"/>
          <w:numId w:val="2"/>
        </w:numPr>
        <w:spacing w:after="70" w:line="270"/>
        <w:jc w:val="both"/>
      </w:pPr>
      <w:r>
        <w:rPr>
          <w:rFonts w:ascii="Calibri" w:cs="Calibri" w:eastAsia="Calibri" w:hAnsi="Calibri"/>
          <w:b/>
          <w:bCs/>
          <w:color w:val="123A22"/>
          <w:sz w:val="22"/>
          <w:szCs w:val="22"/>
        </w:rPr>
        <w:t xml:space="preserve">e) </w:t>
      </w:r>
      <w:r>
        <w:rPr>
          <w:rFonts w:ascii="Calibri" w:cs="Calibri" w:eastAsia="Calibri" w:hAnsi="Calibri"/>
          <w:sz w:val="22"/>
          <w:szCs w:val="22"/>
        </w:rPr>
        <w:t xml:space="preserve">Conservar la trazabilidad y el orden de los datos, y ponerlos a disposición de la Empresa en tiempo y forma.</w:t>
      </w:r>
    </w:p>
    <w:p>
      <w:pPr>
        <w:keepNext/>
        <w:spacing w:after="80" w:before="220"/>
      </w:pPr>
      <w:r>
        <w:rPr>
          <w:rFonts w:ascii="Calibri" w:cs="Calibri" w:eastAsia="Calibri" w:hAnsi="Calibri"/>
          <w:b/>
          <w:bCs/>
          <w:color w:val="1E5A2E"/>
          <w:sz w:val="23"/>
          <w:szCs w:val="23"/>
        </w:rPr>
        <w:t xml:space="preserve">CLÁUSULA QUINTA — CONTENIDO Y FORMA DEL RELEVAMIENTO DE DATOS</w:t>
      </w:r>
    </w:p>
    <w:p>
      <w:pPr>
        <w:spacing w:after="120" w:line="276"/>
        <w:jc w:val="both"/>
      </w:pPr>
      <w:r>
        <w:rPr>
          <w:rFonts w:ascii="Calibri" w:cs="Calibri" w:eastAsia="Calibri" w:hAnsi="Calibri"/>
          <w:sz w:val="22"/>
          <w:szCs w:val="22"/>
        </w:rPr>
        <w:t xml:space="preserve">Por «relevamiento de datos» las partes entienden la recopilación integral de la mayor cantidad de información posible, que deberá incluir como mínimo:</w:t>
      </w:r>
    </w:p>
    <w:p>
      <w:pPr>
        <w:pStyle w:val="ListParagraph"/>
        <w:numPr>
          <w:ilvl w:val="0"/>
          <w:numId w:val="2"/>
        </w:numPr>
        <w:spacing w:after="70" w:line="270"/>
        <w:jc w:val="both"/>
      </w:pPr>
      <w:r>
        <w:rPr>
          <w:rFonts w:ascii="Calibri" w:cs="Calibri" w:eastAsia="Calibri" w:hAnsi="Calibri"/>
          <w:sz w:val="22"/>
          <w:szCs w:val="22"/>
        </w:rPr>
        <w:t xml:space="preserve">El historial previo del lote o cultivo (antecedentes de manejo, sanidad y rendimiento).</w:t>
      </w:r>
    </w:p>
    <w:p>
      <w:pPr>
        <w:pStyle w:val="ListParagraph"/>
        <w:numPr>
          <w:ilvl w:val="0"/>
          <w:numId w:val="2"/>
        </w:numPr>
        <w:spacing w:after="70" w:line="270"/>
        <w:jc w:val="both"/>
      </w:pPr>
      <w:r>
        <w:rPr>
          <w:rFonts w:ascii="Calibri" w:cs="Calibri" w:eastAsia="Calibri" w:hAnsi="Calibri"/>
          <w:sz w:val="22"/>
          <w:szCs w:val="22"/>
        </w:rPr>
        <w:t xml:space="preserve">Los datos comparativos entre las parcelas experimentales (tratadas) y las parcelas testigo (sin tratar), con el mismo manejo salvo el factor biológico.</w:t>
      </w:r>
    </w:p>
    <w:p>
      <w:pPr>
        <w:pStyle w:val="ListParagraph"/>
        <w:numPr>
          <w:ilvl w:val="0"/>
          <w:numId w:val="2"/>
        </w:numPr>
        <w:spacing w:after="70" w:line="270"/>
        <w:jc w:val="both"/>
      </w:pPr>
      <w:r>
        <w:rPr>
          <w:rFonts w:ascii="Calibri" w:cs="Calibri" w:eastAsia="Calibri" w:hAnsi="Calibri"/>
          <w:sz w:val="22"/>
          <w:szCs w:val="22"/>
        </w:rPr>
        <w:t xml:space="preserve">Registro fotográfico, videos y testimonios de los responsables o productores.</w:t>
      </w:r>
    </w:p>
    <w:p>
      <w:pPr>
        <w:pStyle w:val="ListParagraph"/>
        <w:numPr>
          <w:ilvl w:val="0"/>
          <w:numId w:val="2"/>
        </w:numPr>
        <w:spacing w:after="70" w:line="270"/>
        <w:jc w:val="both"/>
      </w:pPr>
      <w:r>
        <w:rPr>
          <w:rFonts w:ascii="Calibri" w:cs="Calibri" w:eastAsia="Calibri" w:hAnsi="Calibri"/>
          <w:sz w:val="22"/>
          <w:szCs w:val="22"/>
        </w:rPr>
        <w:t xml:space="preserve">Un análisis por escrito de los resultados, con las mediciones, observaciones y conclusiones correspondientes.</w:t>
      </w:r>
    </w:p>
    <w:p>
      <w:pPr>
        <w:spacing w:after="120" w:line="276"/>
        <w:jc w:val="both"/>
      </w:pPr>
      <w:r>
        <w:rPr>
          <w:rFonts w:ascii="Calibri" w:cs="Calibri" w:eastAsia="Calibri" w:hAnsi="Calibri"/>
          <w:sz w:val="22"/>
          <w:szCs w:val="22"/>
        </w:rPr>
        <w:t xml:space="preserve">Toda la información generada respaldará técnicamente el uso y la difusión de los productos, y servirá de base para la actividad comercial prevista en la Cláusula Séptima.</w:t>
      </w:r>
    </w:p>
    <w:p>
      <w:pPr>
        <w:keepNext/>
        <w:spacing w:after="80" w:before="220"/>
      </w:pPr>
      <w:r>
        <w:rPr>
          <w:rFonts w:ascii="Calibri" w:cs="Calibri" w:eastAsia="Calibri" w:hAnsi="Calibri"/>
          <w:b/>
          <w:bCs/>
          <w:color w:val="1E5A2E"/>
          <w:sz w:val="23"/>
          <w:szCs w:val="23"/>
        </w:rPr>
        <w:t xml:space="preserve">CLÁUSULA SEXTA — CAPACITACIÓN Y METODOLOGÍA</w:t>
      </w:r>
    </w:p>
    <w:p>
      <w:pPr>
        <w:spacing w:after="120" w:line="276"/>
        <w:jc w:val="both"/>
      </w:pPr>
      <w:r>
        <w:rPr>
          <w:rFonts w:ascii="Calibri" w:cs="Calibri" w:eastAsia="Calibri" w:hAnsi="Calibri"/>
          <w:sz w:val="22"/>
          <w:szCs w:val="22"/>
        </w:rPr>
        <w:t xml:space="preserve">La Empresa capacitará y direccionará al Instituto sobre la correcta toma de datos y muestras, comprendiendo, entre otros aspectos:</w:t>
      </w:r>
    </w:p>
    <w:p>
      <w:pPr>
        <w:pStyle w:val="ListParagraph"/>
        <w:numPr>
          <w:ilvl w:val="0"/>
          <w:numId w:val="2"/>
        </w:numPr>
        <w:spacing w:after="70" w:line="270"/>
        <w:jc w:val="both"/>
      </w:pPr>
      <w:r>
        <w:rPr>
          <w:rFonts w:ascii="Calibri" w:cs="Calibri" w:eastAsia="Calibri" w:hAnsi="Calibri"/>
          <w:sz w:val="22"/>
          <w:szCs w:val="22"/>
        </w:rPr>
        <w:t xml:space="preserve">La medición básica del pH del suelo.</w:t>
      </w:r>
    </w:p>
    <w:p>
      <w:pPr>
        <w:pStyle w:val="ListParagraph"/>
        <w:numPr>
          <w:ilvl w:val="0"/>
          <w:numId w:val="2"/>
        </w:numPr>
        <w:spacing w:after="70" w:line="270"/>
        <w:jc w:val="both"/>
      </w:pPr>
      <w:r>
        <w:rPr>
          <w:rFonts w:ascii="Calibri" w:cs="Calibri" w:eastAsia="Calibri" w:hAnsi="Calibri"/>
          <w:sz w:val="22"/>
          <w:szCs w:val="22"/>
        </w:rPr>
        <w:t xml:space="preserve">La medición de la materia orgánica.</w:t>
      </w:r>
    </w:p>
    <w:p>
      <w:pPr>
        <w:pStyle w:val="ListParagraph"/>
        <w:numPr>
          <w:ilvl w:val="0"/>
          <w:numId w:val="2"/>
        </w:numPr>
        <w:spacing w:after="70" w:line="270"/>
        <w:jc w:val="both"/>
      </w:pPr>
      <w:r>
        <w:rPr>
          <w:rFonts w:ascii="Calibri" w:cs="Calibri" w:eastAsia="Calibri" w:hAnsi="Calibri"/>
          <w:sz w:val="22"/>
          <w:szCs w:val="22"/>
        </w:rPr>
        <w:t xml:space="preserve">Cómo avanzan e intervienen los patógenos en el cultivo.</w:t>
      </w:r>
    </w:p>
    <w:p>
      <w:pPr>
        <w:pStyle w:val="ListParagraph"/>
        <w:numPr>
          <w:ilvl w:val="0"/>
          <w:numId w:val="2"/>
        </w:numPr>
        <w:spacing w:after="70" w:line="270"/>
        <w:jc w:val="both"/>
      </w:pPr>
      <w:r>
        <w:rPr>
          <w:rFonts w:ascii="Calibri" w:cs="Calibri" w:eastAsia="Calibri" w:hAnsi="Calibri"/>
          <w:sz w:val="22"/>
          <w:szCs w:val="22"/>
        </w:rPr>
        <w:t xml:space="preserve">Cómo intervienen las esporas en el momento en que se toma la muestra, y la determinación de la presencia y cantidad de esporas.</w:t>
      </w:r>
    </w:p>
    <w:p>
      <w:pPr>
        <w:pStyle w:val="ListParagraph"/>
        <w:numPr>
          <w:ilvl w:val="0"/>
          <w:numId w:val="2"/>
        </w:numPr>
        <w:spacing w:after="70" w:line="270"/>
        <w:jc w:val="both"/>
      </w:pPr>
      <w:r>
        <w:rPr>
          <w:rFonts w:ascii="Calibri" w:cs="Calibri" w:eastAsia="Calibri" w:hAnsi="Calibri"/>
          <w:sz w:val="22"/>
          <w:szCs w:val="22"/>
        </w:rPr>
        <w:t xml:space="preserve">Los criterios y momentos de muestreo, medición y registro.</w:t>
      </w:r>
    </w:p>
    <w:p>
      <w:pPr>
        <w:keepNext/>
        <w:spacing w:after="80" w:before="220"/>
      </w:pPr>
      <w:r>
        <w:rPr>
          <w:rFonts w:ascii="Calibri" w:cs="Calibri" w:eastAsia="Calibri" w:hAnsi="Calibri"/>
          <w:b/>
          <w:bCs/>
          <w:color w:val="1E5A2E"/>
          <w:sz w:val="23"/>
          <w:szCs w:val="23"/>
        </w:rPr>
        <w:t xml:space="preserve">CLÁUSULA SÉPTIMA — CONTRAPRESTACIÓN ECONÓMICA (5 %)</w:t>
      </w:r>
    </w:p>
    <w:p>
      <w:pPr>
        <w:spacing w:after="120" w:line="276"/>
        <w:jc w:val="both"/>
      </w:pPr>
      <w:r>
        <w:rPr>
          <w:rFonts w:ascii="Calibri" w:cs="Calibri" w:eastAsia="Calibri" w:hAnsi="Calibri"/>
          <w:sz w:val="22"/>
          <w:szCs w:val="22"/>
        </w:rPr>
        <w:t xml:space="preserve">Además del intercambio de producto por relevamiento previsto en la Cláusula Cuarta, el Instituto percibirá el </w:t>
      </w:r>
      <w:r>
        <w:rPr>
          <w:rFonts w:ascii="Calibri" w:cs="Calibri" w:eastAsia="Calibri" w:hAnsi="Calibri"/>
          <w:b/>
          <w:bCs/>
          <w:sz w:val="22"/>
          <w:szCs w:val="22"/>
        </w:rPr>
        <w:t xml:space="preserve">cinco por ciento (5 %) de las ventas de productos de la Línea Green Science que se concreten en base al relevamiento de datos y al trabajo técnico del Instituto</w:t>
      </w:r>
      <w:r>
        <w:rPr>
          <w:rFonts w:ascii="Calibri" w:cs="Calibri" w:eastAsia="Calibri" w:hAnsi="Calibri"/>
          <w:sz w:val="22"/>
          <w:szCs w:val="22"/>
        </w:rPr>
        <w:t xml:space="preserve"> con otros productores. Esta contraprestación aplica cuando la venta se genere a partir de la intervención del Instituto —por ejemplo, cuando bodegas o empresas (a modo ilustrativo, Casa Real u otras) soliciten que el Instituto concurra a tomar muestras, analizar y acompañar el caso— y siempre que dicha operación involucre relevamiento de datos y trabajo en equipo entre las partes.</w:t>
      </w:r>
    </w:p>
    <w:p>
      <w:pPr>
        <w:spacing w:after="120" w:line="276"/>
        <w:jc w:val="both"/>
      </w:pPr>
      <w:r>
        <w:rPr>
          <w:rFonts w:ascii="Calibri" w:cs="Calibri" w:eastAsia="Calibri" w:hAnsi="Calibri"/>
          <w:sz w:val="22"/>
          <w:szCs w:val="22"/>
        </w:rPr>
        <w:t xml:space="preserve">La liquidación del 5 % se realizará con periodicidad </w:t>
      </w:r>
      <w:r>
        <w:rPr>
          <w:rFonts w:ascii="Calibri" w:cs="Calibri" w:eastAsia="Calibri" w:hAnsi="Calibri"/>
          <w:color w:val="333333"/>
          <w:sz w:val="22"/>
          <w:szCs w:val="22"/>
        </w:rPr>
        <w:t xml:space="preserve">______________</w:t>
      </w:r>
      <w:r>
        <w:rPr>
          <w:rFonts w:ascii="Calibri" w:cs="Calibri" w:eastAsia="Calibri" w:hAnsi="Calibri"/>
          <w:sz w:val="22"/>
          <w:szCs w:val="22"/>
        </w:rPr>
        <w:t xml:space="preserve">, sobre las ventas efectivamente cobradas atribuibles al trabajo del Instituto. Las partes podrán acordar por escrito el detalle de las operaciones alcanzadas.</w:t>
      </w:r>
    </w:p>
    <w:p>
      <w:pPr>
        <w:keepNext/>
        <w:spacing w:after="80" w:before="220"/>
      </w:pPr>
      <w:r>
        <w:rPr>
          <w:rFonts w:ascii="Calibri" w:cs="Calibri" w:eastAsia="Calibri" w:hAnsi="Calibri"/>
          <w:b/>
          <w:bCs/>
          <w:color w:val="1E5A2E"/>
          <w:sz w:val="23"/>
          <w:szCs w:val="23"/>
        </w:rPr>
        <w:t xml:space="preserve">CLÁUSULA OCTAVA — COMPATIBILIDAD Y COORDINACIÓN DE APLICACIONES</w:t>
      </w:r>
    </w:p>
    <w:p>
      <w:pPr>
        <w:spacing w:after="120" w:line="276"/>
        <w:jc w:val="both"/>
      </w:pPr>
      <w:r>
        <w:rPr>
          <w:rFonts w:ascii="Calibri" w:cs="Calibri" w:eastAsia="Calibri" w:hAnsi="Calibri"/>
          <w:sz w:val="22"/>
          <w:szCs w:val="22"/>
        </w:rPr>
        <w:t xml:space="preserve">Con carácter previo a cualquier aplicación, las partes deberán conocer qué productos se están utilizando en el lote y quién los aplica, así como el esquema de financiamiento y los insumos con los que se esté trabajando, a fin de verificar su compatibilidad con los bioinsumos de la Línea Green Science. Queda expresamente advertido que la aplicación de fungicidas u otros productos químicos en forma no coordinada puede atacar y destruir las colonias de microorganismos benéficos de los bioinsumos, comprometiendo el resultado del ensayo. En consecuencia, las aplicaciones se coordinarán previamente entre las partes.</w:t>
      </w:r>
    </w:p>
    <w:p>
      <w:pPr>
        <w:keepNext/>
        <w:spacing w:after="80" w:before="220"/>
      </w:pPr>
      <w:r>
        <w:rPr>
          <w:rFonts w:ascii="Calibri" w:cs="Calibri" w:eastAsia="Calibri" w:hAnsi="Calibri"/>
          <w:b/>
          <w:bCs/>
          <w:color w:val="1E5A2E"/>
          <w:sz w:val="23"/>
          <w:szCs w:val="23"/>
        </w:rPr>
        <w:t xml:space="preserve">CLÁUSULA NOVENA — CONFIDENCIALIDAD Y USO DE LA INFORMACIÓN</w:t>
      </w:r>
    </w:p>
    <w:p>
      <w:pPr>
        <w:spacing w:after="120" w:line="276"/>
        <w:jc w:val="both"/>
      </w:pPr>
      <w:r>
        <w:rPr>
          <w:rFonts w:ascii="Calibri" w:cs="Calibri" w:eastAsia="Calibri" w:hAnsi="Calibri"/>
          <w:sz w:val="22"/>
          <w:szCs w:val="22"/>
        </w:rPr>
        <w:t xml:space="preserve">La información técnica, los datos, las imágenes y los análisis generados en el marco de este Convenio podrán ser utilizados por la Empresa para respaldo técnico, formación, difusión y actividad comercial. El Instituto podrá emplearlos con fines académicos y formativos, citando la colaboración. La información comercial y de financiamiento de terceros tendrá carácter confidencial y no será divulgada sin autorización de la parte titular.</w:t>
      </w:r>
    </w:p>
    <w:p>
      <w:pPr>
        <w:keepNext/>
        <w:spacing w:after="80" w:before="220"/>
      </w:pPr>
      <w:r>
        <w:rPr>
          <w:rFonts w:ascii="Calibri" w:cs="Calibri" w:eastAsia="Calibri" w:hAnsi="Calibri"/>
          <w:b/>
          <w:bCs/>
          <w:color w:val="1E5A2E"/>
          <w:sz w:val="23"/>
          <w:szCs w:val="23"/>
        </w:rPr>
        <w:t xml:space="preserve">CLÁUSULA DÉCIMA — VIGENCIA</w:t>
      </w:r>
    </w:p>
    <w:p>
      <w:pPr>
        <w:spacing w:after="120" w:line="276"/>
        <w:jc w:val="both"/>
      </w:pPr>
      <w:r>
        <w:rPr>
          <w:rFonts w:ascii="Calibri" w:cs="Calibri" w:eastAsia="Calibri" w:hAnsi="Calibri"/>
          <w:sz w:val="22"/>
          <w:szCs w:val="22"/>
        </w:rPr>
        <w:t xml:space="preserve">El presente Convenio tendrá una vigencia de </w:t>
      </w:r>
      <w:r>
        <w:rPr>
          <w:rFonts w:ascii="Calibri" w:cs="Calibri" w:eastAsia="Calibri" w:hAnsi="Calibri"/>
          <w:color w:val="333333"/>
          <w:sz w:val="22"/>
          <w:szCs w:val="22"/>
        </w:rPr>
        <w:t xml:space="preserve">______________</w:t>
      </w:r>
      <w:r>
        <w:rPr>
          <w:rFonts w:ascii="Calibri" w:cs="Calibri" w:eastAsia="Calibri" w:hAnsi="Calibri"/>
          <w:sz w:val="22"/>
          <w:szCs w:val="22"/>
        </w:rPr>
        <w:t xml:space="preserve"> (por ejemplo, doce meses), contados a partir de la fecha de su firma, renovable de común acuerdo por períodos iguales mediante manifestación escrita de las partes.</w:t>
      </w:r>
    </w:p>
    <w:p>
      <w:pPr>
        <w:keepNext/>
        <w:spacing w:after="80" w:before="220"/>
      </w:pPr>
      <w:r>
        <w:rPr>
          <w:rFonts w:ascii="Calibri" w:cs="Calibri" w:eastAsia="Calibri" w:hAnsi="Calibri"/>
          <w:b/>
          <w:bCs/>
          <w:color w:val="1E5A2E"/>
          <w:sz w:val="23"/>
          <w:szCs w:val="23"/>
        </w:rPr>
        <w:t xml:space="preserve">CLÁUSULA DÉCIMA PRIMERA — RESCISIÓN</w:t>
      </w:r>
    </w:p>
    <w:p>
      <w:pPr>
        <w:spacing w:after="120" w:line="276"/>
        <w:jc w:val="both"/>
      </w:pPr>
      <w:r>
        <w:rPr>
          <w:rFonts w:ascii="Calibri" w:cs="Calibri" w:eastAsia="Calibri" w:hAnsi="Calibri"/>
          <w:sz w:val="22"/>
          <w:szCs w:val="22"/>
        </w:rPr>
        <w:t xml:space="preserve">Cualquiera de las partes podrá dejar sin efecto el presente Convenio mediante preaviso escrito con una antelación no menor a treinta (30) días, sin que ello genere derecho a indemnización alguna, debiendo cumplirse las obligaciones pendientes a la fecha de la rescisión. El incumplimiento grave de las obligaciones aquí asumidas facultará a la parte cumplidora a rescindir el Convenio de pleno derecho.</w:t>
      </w:r>
    </w:p>
    <w:p>
      <w:pPr>
        <w:keepNext/>
        <w:spacing w:after="80" w:before="220"/>
      </w:pPr>
      <w:r>
        <w:rPr>
          <w:rFonts w:ascii="Calibri" w:cs="Calibri" w:eastAsia="Calibri" w:hAnsi="Calibri"/>
          <w:b/>
          <w:bCs/>
          <w:color w:val="1E5A2E"/>
          <w:sz w:val="23"/>
          <w:szCs w:val="23"/>
        </w:rPr>
        <w:t xml:space="preserve">CLÁUSULA DÉCIMA SEGUNDA — NATURALEZA DEL VÍNCULO</w:t>
      </w:r>
    </w:p>
    <w:p>
      <w:pPr>
        <w:spacing w:after="120" w:line="276"/>
        <w:jc w:val="both"/>
      </w:pPr>
      <w:r>
        <w:rPr>
          <w:rFonts w:ascii="Calibri" w:cs="Calibri" w:eastAsia="Calibri" w:hAnsi="Calibri"/>
          <w:sz w:val="22"/>
          <w:szCs w:val="22"/>
        </w:rPr>
        <w:t xml:space="preserve">El presente Convenio no genera relación laboral, societaria ni de dependencia entre las partes, tratándose de una colaboración entre entidades independientes. Cada parte responderá por sus propias obligaciones legales, impositivas y previsionales.</w:t>
      </w:r>
    </w:p>
    <w:p>
      <w:pPr>
        <w:keepNext/>
        <w:spacing w:after="80" w:before="220"/>
      </w:pPr>
      <w:r>
        <w:rPr>
          <w:rFonts w:ascii="Calibri" w:cs="Calibri" w:eastAsia="Calibri" w:hAnsi="Calibri"/>
          <w:b/>
          <w:bCs/>
          <w:color w:val="1E5A2E"/>
          <w:sz w:val="23"/>
          <w:szCs w:val="23"/>
        </w:rPr>
        <w:t xml:space="preserve">CLÁUSULA DÉCIMA TERCERA — DOMICILIOS, NOTIFICACIONES Y CONTROVERSIAS</w:t>
      </w:r>
    </w:p>
    <w:p>
      <w:pPr>
        <w:spacing w:after="120" w:line="276"/>
        <w:jc w:val="both"/>
      </w:pPr>
      <w:r>
        <w:rPr>
          <w:rFonts w:ascii="Calibri" w:cs="Calibri" w:eastAsia="Calibri" w:hAnsi="Calibri"/>
          <w:sz w:val="22"/>
          <w:szCs w:val="22"/>
        </w:rPr>
        <w:t xml:space="preserve">Las partes constituyen domicilio en los indicados en la Cláusula Primera, donde se tendrán por válidas todas las notificaciones. Toda controversia derivada del presente Convenio será resuelta de buena fe entre las partes y, de no arribarse a una solución, se someterá a la jurisdicción de </w:t>
      </w:r>
      <w:r>
        <w:rPr>
          <w:rFonts w:ascii="Calibri" w:cs="Calibri" w:eastAsia="Calibri" w:hAnsi="Calibri"/>
          <w:color w:val="333333"/>
          <w:sz w:val="22"/>
          <w:szCs w:val="22"/>
        </w:rPr>
        <w:t xml:space="preserve">______________</w:t>
      </w:r>
      <w:r>
        <w:rPr>
          <w:rFonts w:ascii="Calibri" w:cs="Calibri" w:eastAsia="Calibri" w:hAnsi="Calibri"/>
          <w:sz w:val="22"/>
          <w:szCs w:val="22"/>
        </w:rPr>
        <w:t xml:space="preserve">.</w:t>
      </w:r>
    </w:p>
    <w:p>
      <w:pPr>
        <w:spacing w:after="120" w:line="276"/>
        <w:jc w:val="both"/>
      </w:pPr>
      <w:r>
        <w:rPr>
          <w:rFonts w:ascii="Calibri" w:cs="Calibri" w:eastAsia="Calibri" w:hAnsi="Calibri"/>
          <w:sz w:val="22"/>
          <w:szCs w:val="22"/>
        </w:rPr>
        <w:t xml:space="preserve">En prueba de conformidad, las partes firman dos ejemplares de un mismo tenor y a un solo efecto, en el lugar y fecha indicados en el encabezamiento.</w:t>
      </w:r>
    </w:p>
    <w:p>
      <w:pPr>
        <w:spacing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pBdr>
                <w:top w:val="single" w:color="555555" w:sz="6"/>
              </w:pBdr>
              <w:spacing w:before="600"/>
            </w:pPr>
          </w:p>
          <w:p>
            <w:pPr>
              <w:jc w:val="center"/>
            </w:pPr>
            <w:r>
              <w:rPr>
                <w:rFonts w:ascii="Calibri" w:cs="Calibri" w:eastAsia="Calibri" w:hAnsi="Calibri"/>
                <w:b/>
                <w:bCs/>
                <w:sz w:val="22"/>
                <w:szCs w:val="22"/>
              </w:rPr>
              <w:t xml:space="preserve">Por BioAgroSolutions — Línea Green Science</w:t>
            </w:r>
          </w:p>
          <w:p>
            <w:pPr>
              <w:jc w:val="center"/>
            </w:pPr>
            <w:r>
              <w:rPr>
                <w:rFonts w:ascii="Calibri" w:cs="Calibri" w:eastAsia="Calibri" w:hAnsi="Calibri"/>
                <w:color w:val="6A756C"/>
                <w:sz w:val="20"/>
                <w:szCs w:val="20"/>
              </w:rPr>
              <w:t xml:space="preserve">Aclaración: __________________</w:t>
            </w:r>
          </w:p>
          <w:p>
            <w:pPr>
              <w:jc w:val="center"/>
            </w:pPr>
            <w:r>
              <w:rPr>
                <w:rFonts w:ascii="Calibri" w:cs="Calibri" w:eastAsia="Calibri" w:hAnsi="Calibri"/>
                <w:color w:val="6A756C"/>
                <w:sz w:val="20"/>
                <w:szCs w:val="20"/>
              </w:rPr>
              <w:t xml:space="preserve">C.I./NIT: __________________</w:t>
            </w:r>
          </w:p>
        </w:tc>
        <w:tc>
          <w:tcPr>
            <w:tcW w:type="dxa" w:w="4680"/>
            <w:tcBorders>
              <w:top w:val="none" w:color="FFFFFF" w:sz="0"/>
              <w:left w:val="none" w:color="FFFFFF" w:sz="0"/>
              <w:bottom w:val="none" w:color="FFFFFF" w:sz="0"/>
              <w:right w:val="none" w:color="FFFFFF" w:sz="0"/>
            </w:tcBorders>
          </w:tcPr>
          <w:p>
            <w:pPr>
              <w:pBdr>
                <w:top w:val="single" w:color="555555" w:sz="6"/>
              </w:pBdr>
              <w:spacing w:before="600"/>
            </w:pPr>
          </w:p>
          <w:p>
            <w:pPr>
              <w:jc w:val="center"/>
            </w:pPr>
            <w:r>
              <w:rPr>
                <w:rFonts w:ascii="Calibri" w:cs="Calibri" w:eastAsia="Calibri" w:hAnsi="Calibri"/>
                <w:b/>
                <w:bCs/>
                <w:sz w:val="22"/>
                <w:szCs w:val="22"/>
              </w:rPr>
              <w:t xml:space="preserve">Por el Instituto Tecnológico de Uriondo</w:t>
            </w:r>
          </w:p>
          <w:p>
            <w:pPr>
              <w:jc w:val="center"/>
            </w:pPr>
            <w:r>
              <w:rPr>
                <w:rFonts w:ascii="Calibri" w:cs="Calibri" w:eastAsia="Calibri" w:hAnsi="Calibri"/>
                <w:color w:val="6A756C"/>
                <w:sz w:val="20"/>
                <w:szCs w:val="20"/>
              </w:rPr>
              <w:t xml:space="preserve">Aclaración: __________________</w:t>
            </w:r>
          </w:p>
          <w:p>
            <w:pPr>
              <w:jc w:val="center"/>
            </w:pPr>
            <w:r>
              <w:rPr>
                <w:rFonts w:ascii="Calibri" w:cs="Calibri" w:eastAsia="Calibri" w:hAnsi="Calibri"/>
                <w:color w:val="6A756C"/>
                <w:sz w:val="20"/>
                <w:szCs w:val="20"/>
              </w:rPr>
              <w:t xml:space="preserve">C.I./NIT: __________________</w:t>
            </w:r>
          </w:p>
        </w:tc>
      </w:tr>
    </w:tbl>
    <w:p>
      <w:pPr>
        <w:spacing w:before="300"/>
        <w:jc w:val="both"/>
      </w:pPr>
      <w:r>
        <w:rPr>
          <w:rFonts w:ascii="Calibri" w:cs="Calibri" w:eastAsia="Calibri" w:hAnsi="Calibri"/>
          <w:i/>
          <w:iCs/>
          <w:color w:val="6A756C"/>
          <w:sz w:val="18"/>
          <w:szCs w:val="18"/>
        </w:rPr>
        <w:t xml:space="preserve">Nota: el presente es un modelo/borrador de trabajo y no constituye asesoramiento legal. Se recomienda su revisión por un profesional del derecho antes de la firma, en especial las cláusulas económica (5 %), de confidencialidad y de rescisión, así como su adecuación a la normativa vigente en Bolivia.</w:t>
      </w:r>
    </w:p>
    <w:sectPr>
      <w:footerReference w:type="default" r:id="rId7"/>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756C"/>
        <w:sz w:val="16"/>
        <w:szCs w:val="16"/>
      </w:rPr>
      <w:t xml:space="preserve">BioAgroSolutions · Línea Green Science   ·   Convenio de colaboración   ·   Página </w:t>
    </w:r>
    <w:r>
      <w:rPr>
        <w:rFonts w:ascii="Calibri" w:cs="Calibri" w:eastAsia="Calibri" w:hAnsi="Calibri"/>
        <w:color w:val="6A75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2026-07-29T15:38:23.179Z</dcterms:created>
  <dcterms:modified xsi:type="dcterms:W3CDTF">2026-07-29T15:38:23.180Z</dcterms:modified>
</cp:coreProperties>
</file>

<file path=docProps/custom.xml><?xml version="1.0" encoding="utf-8"?>
<Properties xmlns="http://schemas.openxmlformats.org/officeDocument/2006/custom-properties" xmlns:vt="http://schemas.openxmlformats.org/officeDocument/2006/docPropsVTypes"/>
</file>