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lineRule="auto" w:line="360" w:before="240" w:after="120"/>
        <w:rPr/>
      </w:pPr>
      <w:bookmarkStart w:id="0" w:name="Xb77f2b31b346d0baf66ecb196d493a47741f34c"/>
      <w:r>
        <w:rPr/>
        <w:t xml:space="preserve">La cosecha de piedras: dibujar el habitar en </w:t>
      </w:r>
      <w:r>
        <w:rPr>
          <w:i/>
          <w:iCs/>
        </w:rPr>
        <w:t>Altiplano</w:t>
      </w:r>
      <w:r>
        <w:rPr/>
        <w:t xml:space="preserve"> de Botelho Gosálvez</w:t>
      </w:r>
    </w:p>
    <w:p>
      <w:pPr>
        <w:pStyle w:val="FirstParagraph"/>
        <w:rPr/>
      </w:pPr>
      <w:r>
        <w:rPr>
          <w:b/>
          <w:bCs/>
        </w:rPr>
        <w:t xml:space="preserve">The Harvest of Stones: Drawing Dwelling in Botelho Gosálvez’s </w:t>
      </w:r>
      <w:r>
        <w:rPr>
          <w:b/>
          <w:bCs/>
          <w:i/>
          <w:iCs/>
        </w:rPr>
        <w:t>Altiplano</w:t>
      </w:r>
    </w:p>
    <w:p>
      <w:pPr>
        <w:pStyle w:val="BodyText"/>
        <w:rPr/>
      </w:pPr>
      <w:r>
        <w:rPr/>
        <w:t>Joaquin Max Cuevas Ventura</w:t>
      </w:r>
      <w:r>
        <w:rPr>
          <w:rStyle w:val="FootnoteReference"/>
        </w:rPr>
        <w:footnoteReference w:id="2"/>
      </w:r>
    </w:p>
    <w:p>
      <w:pPr>
        <w:pStyle w:val="BodyText"/>
        <w:rPr/>
      </w:pPr>
      <w:r>
        <w:rPr>
          <w:b/>
          <w:bCs/>
        </w:rPr>
        <w:t>Resumen</w:t>
      </w:r>
    </w:p>
    <w:p>
      <w:pPr>
        <w:pStyle w:val="BodyText"/>
        <w:rPr/>
      </w:pPr>
      <w:r>
        <w:rPr/>
        <w:t xml:space="preserve">El artículo lee </w:t>
      </w:r>
      <w:r>
        <w:rPr>
          <w:i/>
          <w:iCs/>
        </w:rPr>
        <w:t>Altiplano</w:t>
      </w:r>
      <w:r>
        <w:rPr/>
        <w:t xml:space="preserve"> (1945),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rPr/>
      </w:pPr>
      <w:r>
        <w:rPr>
          <w:b/>
          <w:bCs/>
        </w:rPr>
        <w:t>Palabras clave:</w:t>
      </w:r>
      <w:r>
        <w:rPr/>
        <w:t xml:space="preserve"> Botelho Gosálvez; ayllu; despojo; manuaje; dibujo como investigación.</w:t>
      </w:r>
    </w:p>
    <w:p>
      <w:pPr>
        <w:pStyle w:val="BodyText"/>
        <w:rPr/>
      </w:pPr>
      <w:r>
        <w:rPr>
          <w:b/>
          <w:bCs/>
        </w:rPr>
        <w:t>Abstract</w:t>
      </w:r>
    </w:p>
    <w:p>
      <w:pPr>
        <w:pStyle w:val="BodyText"/>
        <w:rPr/>
      </w:pPr>
      <w:r>
        <w:rPr/>
        <w:t xml:space="preserve">This article reads </w:t>
      </w:r>
      <w:r>
        <w:rPr>
          <w:i/>
          <w:iCs/>
        </w:rPr>
        <w:t>Altiplano</w:t>
      </w:r>
      <w:r>
        <w:rPr/>
        <w:t xml:space="preserve"> (1945),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rPr/>
      </w:pPr>
      <w:r>
        <w:rPr>
          <w:b/>
          <w:bCs/>
        </w:rPr>
        <w:t>Keywords:</w:t>
      </w:r>
      <w:r>
        <w:rPr/>
        <w:t xml:space="preserve"> Botelho Gosálvez; ayllu; dispossession; manuage; drawing as research.</w:t>
      </w:r>
    </w:p>
    <w:p>
      <w:pPr>
        <w:pStyle w:val="Epgrafe"/>
        <w:rPr/>
      </w:pPr>
      <w:r>
        <w:rPr/>
        <w:t>«Mirando al pasado para caminar por el presente y el futuro (</w:t>
      </w:r>
      <w:r>
        <w:rPr>
          <w:i/>
          <w:iCs/>
        </w:rPr>
        <w:t>qhip nayr uñtasis sarnaqapxañani</w:t>
      </w:r>
      <w:r>
        <w:rPr/>
        <w:t>)».</w:t>
      </w:r>
    </w:p>
    <w:p>
      <w:pPr>
        <w:pStyle w:val="Epgrafe"/>
        <w:rPr/>
      </w:pPr>
      <w:r>
        <w:rPr/>
        <w:t>Lema del Taller de Historia Oral Andina (Rivera Cusicanqui, 2010 [1984]: 17)</w:t>
      </w:r>
    </w:p>
    <w:p>
      <w:pPr>
        <w:pStyle w:val="Heading2"/>
        <w:rPr/>
      </w:pPr>
      <w:bookmarkStart w:id="1" w:name="introducción-una-cosecha-de-piedras"/>
      <w:r>
        <w:rPr/>
        <w:t>1. Introducción: una cosecha de piedras</w:t>
      </w:r>
    </w:p>
    <w:p>
      <w:pPr>
        <w:pStyle w:val="FirstParagraph"/>
        <w:rPr/>
      </w:pPr>
      <w:r>
        <w:rPr/>
        <w:t>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rPr/>
      </w:pPr>
      <w:r>
        <w:rPr/>
        <w:t>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rPr/>
      </w:pPr>
      <w:r>
        <w:rPr/>
        <w:t xml:space="preserve">La escena encierra una paradoja: lo que se cosecha es el obstáculo, y la tierra </w:t>
      </w:r>
      <w:r>
        <w:rPr>
          <w:i/>
          <w:iCs/>
        </w:rPr>
        <w:t>pare</w:t>
      </w:r>
      <w:r>
        <w:rPr/>
        <w:t xml:space="preserve"> justamente 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 </w:t>
      </w:r>
      <w:r>
        <w:rPr>
          <w:i/>
          <w:iCs/>
        </w:rPr>
        <w:t>Altiplano</w:t>
      </w:r>
      <w:r>
        <w:rPr/>
        <w:t>, aquella en la que habitar y enterrar casi no se distinguen. Como observa Tim Ingold, el montón «no se construye: crece» (Ingold, 2013: 78)</w:t>
      </w:r>
      <w:r>
        <w:rPr>
          <w:rStyle w:val="FootnoteReference"/>
        </w:rPr>
        <w:footnoteReference w:id="3"/>
      </w:r>
      <w:r>
        <w:rPr/>
        <w:t>; en Jatun-Kolla, crece con cada cosecha.</w:t>
      </w:r>
    </w:p>
    <w:p>
      <w:pPr>
        <w:pStyle w:val="BodyText"/>
        <w:rPr/>
      </w:pPr>
      <w:r>
        <w:rPr/>
        <w:t xml:space="preserve">El aymara colonial tenía palabras para todo esto. El vocabulario que el jesuita Ludovico Bertonio publicó en 1612 registra un verbo para la faena, </w:t>
      </w:r>
      <w:r>
        <w:rPr>
          <w:i/>
          <w:iCs/>
        </w:rPr>
        <w:t>wanqathapiña</w:t>
      </w:r>
      <w:r>
        <w:rPr/>
        <w:t xml:space="preserve">, «amontonar piedras sacándolas» (Bertonio, 2011 [1612]: 77), y un solo nombre, </w:t>
      </w:r>
      <w:r>
        <w:rPr>
          <w:i/>
          <w:iCs/>
        </w:rPr>
        <w:t>chhaxwa</w:t>
      </w:r>
      <w:r>
        <w:rPr/>
        <w:t xml:space="preserve">, para las piedras «que amontonan limpiando las chácaras» y para la piedra «hincada en la pared para atar en ella los palos del techo» (ibid.: 330). La misma palabra nombra la piedra que se saca del campo y la que sujeta el techo. Que la faena tenga verbo importa: para Juhani Pallasmaa, «las experiencias arquitectónicas básicas tienen carácter de verbos más que de sustantivos» (Pallasmaa, 2014: 158). Un arquitecto reconoce aquí dos maneras de construir. Kenneth Frampton distingue la masa formada por «apilamiento repetitivo de elementos pesados», «ya sea piedra o adobe», del armazón que ensambla «componentes ligeros y lineales» (Frampton, 1995: 5): la estereotomía y la tectónica. El montón es masa sin edificio, y </w:t>
      </w:r>
      <w:r>
        <w:rPr>
          <w:i/>
          <w:iCs/>
        </w:rPr>
        <w:t>chhaxwa</w:t>
      </w:r>
      <w:r>
        <w:rPr/>
        <w:t xml:space="preserve"> nombra el punto exacto donde la masa y el armazón se tocan. Esa tensión entre la piedra que pesa y la madera que ata recorre la novela, de la chujlla a la mina.</w:t>
      </w:r>
    </w:p>
    <w:p>
      <w:pPr>
        <w:pStyle w:val="BodyText"/>
        <w:rPr/>
      </w:pPr>
      <w:r>
        <w:rPr/>
        <w:t xml:space="preserve">Este artículo hace dos preguntas. ¿Qué sabe </w:t>
      </w:r>
      <w:r>
        <w:rPr>
          <w:i/>
          <w:iCs/>
        </w:rPr>
        <w:t>Altiplano</w:t>
      </w:r>
      <w:r>
        <w:rPr/>
        <w:t xml:space="preserve"> sobre el habitar cuando se la lee siguiendo sus piedras? ¿Y qué añade a esa lectura un dibujo hecho con una materia, el pastel al óleo, que trabaja como el comunario, sumando y quitando?</w:t>
      </w:r>
      <w:r>
        <w:rPr>
          <w:rStyle w:val="FootnoteReference"/>
        </w:rPr>
        <w:footnoteReference w:id="4"/>
      </w:r>
      <w:r>
        <w:rPr/>
        <w:t xml:space="preserve"> Nuestra respuesta es que la novela registra, a espaldas de su narrador, la mecánica material del despojo: cómo se pierde la tierra, con qué objetos y con qué gestos. Leer así se parece al esgrafiado: se raspa la capa del narrador para que aparezca la de abajo. El argumento cabe en tres materiales. El ayllu marca su tierra con piedras: despeja, amontona, cerca y amojona. La aldea la reescribe con papeles: títulos, expedientes, ordenanzas. La mina convierte el mismo gesto en mercancía con máquinas. Entre la piedra y el papel el intercambio no es parejo: ante la ley, un mojón no vale lo que un título. El dibujo, al repetir las operaciones de la novela con otra materia, obliga a decidir lo que el texto deja abierto y deja ver lo que el narrador impone.</w:t>
      </w:r>
    </w:p>
    <w:p>
      <w:pPr>
        <w:pStyle w:val="BodyText"/>
        <w:rPr/>
      </w:pPr>
      <w:r>
        <w:rP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Aquí no se lee la novela ni como documento ni como redención. Antonio Cornejo Polar mostró que el narrador indigenista, «ajeno al mundo indio aunque se solidarice con él», imagina esa vida «más en términos de naturaleza que de historia» (Cornejo Polar, 2003 [1994]: 180). El de </w:t>
      </w:r>
      <w:r>
        <w:rPr>
          <w:i/>
          <w:iCs/>
        </w:rPr>
        <w:t>Altiplano</w:t>
      </w:r>
      <w:r>
        <w:rPr/>
        <w:t xml:space="preserve"> </w:t>
      </w:r>
      <w:ins w:id="0" w:author="Unknown Author" w:date="2026-09-28T16:12:25Z">
        <w:r>
          <w:rPr/>
          <w:t>denuncia</w:t>
        </w:r>
      </w:ins>
      <w:del w:id="1" w:author="Unknown Author" w:date="2026-09-28T16:12:25Z">
        <w:r>
          <w:rPr/>
          <w:delText>no es la excepción. Denuncia</w:delText>
        </w:r>
      </w:del>
      <w:r>
        <w:rPr/>
        <w:t xml:space="preserve">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rPr/>
      </w:pPr>
      <w:r>
        <w:rPr/>
        <w:t xml:space="preserve">La lectura se hace desde la arquitectura y el dibujo, con las herramientas de ese oficio: la planta, el corte, el peso de los materiales, la mano que dibuja. Hay tres razones para hacerlo así. Primero, en </w:t>
      </w:r>
      <w:r>
        <w:rPr>
          <w:i/>
          <w:iCs/>
        </w:rPr>
        <w:t>Altiplano</w:t>
      </w:r>
      <w:r>
        <w:rPr/>
        <w:t xml:space="preserve"> el saber sobre el espacio es material: piedra, adobe, paja y papel. Segundo, el dibujo, que obliga a decidir punto de vista, escala y límite, deja a la vista las categorías que el lector proyecta. Tercero, si dibujar es, como propone Mauricio Cárcamo Pino, un </w:t>
      </w:r>
      <w:r>
        <w:rPr>
          <w:i/>
          <w:iCs/>
        </w:rPr>
        <w:t>manuaje</w:t>
      </w:r>
      <w:r>
        <w:rPr/>
        <w:t>,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bookmarkEnd w:id="1"/>
    </w:p>
    <w:p>
      <w:pPr>
        <w:pStyle w:val="Heading2"/>
        <w:rPr/>
      </w:pPr>
      <w:bookmarkStart w:id="2" w:name="X92427c7b6fba06e7fef4b61070b9c7628a70d2e"/>
      <w:r>
        <w:rPr/>
        <w:t>2. Cómo leer: el espacio, las manos y el dibujo (marco teórico y método)</w:t>
      </w:r>
    </w:p>
    <w:p>
      <w:pPr>
        <w:pStyle w:val="FirstParagraph"/>
        <w:rPr/>
      </w:pPr>
      <w:r>
        <w:rPr/>
        <w:t>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rPr/>
      </w:pPr>
      <w:r>
        <w:rP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Dicho de manera simple: para la primera, la tierra es un conjunto de lugares a distintas alturas que se trabajan juntos, como la puna y el valle; para la segunda, un terreno cercado que se hereda por apellido. </w:t>
      </w:r>
      <w:r>
        <w:rPr>
          <w:i/>
          <w:iCs/>
        </w:rPr>
        <w:t>Altiplano</w:t>
      </w:r>
      <w:r>
        <w:rPr/>
        <w:t xml:space="preserve"> muestra las dos, y cómo la segunda gana terreno.</w:t>
      </w:r>
    </w:p>
    <w:p>
      <w:pPr>
        <w:pStyle w:val="BodyText"/>
        <w:rPr/>
      </w:pPr>
      <w:r>
        <w:rPr/>
        <w:t xml:space="preserve">Tampoco la piedra andina es la piedra del narrador. En el aymara de Bertonio, </w:t>
      </w:r>
      <w:r>
        <w:rPr>
          <w:i/>
          <w:iCs/>
        </w:rPr>
        <w:t>wanqa</w:t>
      </w:r>
      <w:r>
        <w:rPr/>
        <w:t xml:space="preserve"> es solo «piedra muy grande» (Bertonio, 2011 [1612]: 506). Pero Pierre Duviols advierte que los diccionarios callan el «contenido religioso» que dejan ver los juicios coloniales contra la idolatría. Allí, el </w:t>
      </w:r>
      <w:r>
        <w:rPr>
          <w:i/>
          <w:iCs/>
        </w:rPr>
        <w:t>huanca</w:t>
      </w:r>
      <w:r>
        <w:rPr/>
        <w:t xml:space="preserve"> era «el doble mineral del cadáver sagrado» (Duviols, 1979: 8), una piedra que recordaba «al Huari que primero amojonó tal campo, al que lo cercó, al que lo desbrozó» (ibid.: 13). </w:t>
      </w:r>
      <w:r>
        <w:rPr>
          <w:i/>
          <w:iCs/>
        </w:rPr>
        <w:t>Huanca</w:t>
      </w:r>
      <w:r>
        <w:rPr/>
        <w:t xml:space="preserve">, grafía colonial de </w:t>
      </w:r>
      <w:r>
        <w:rPr>
          <w:i/>
          <w:iCs/>
        </w:rPr>
        <w:t>wank’a</w:t>
      </w:r>
      <w:r>
        <w:rP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 </w:t>
      </w:r>
      <w:r>
        <w:rPr>
          <w:i/>
          <w:iCs/>
        </w:rPr>
        <w:t>wank’a</w:t>
      </w:r>
      <w:r>
        <w:rPr/>
        <w:t xml:space="preserve"> es una piedra con dueño y con lugar; la del narrador, una abstracción.</w:t>
      </w:r>
    </w:p>
    <w:p>
      <w:pPr>
        <w:pStyle w:val="BodyText"/>
        <w:rPr/>
      </w:pPr>
      <w:r>
        <w:rPr/>
        <w:t xml:space="preserve">¿Con qué leer, entonces? Con las manos. De las imágenes de la materia, Gaston Bachelard escribió: «La vista las nombra, pero la mano las conoce» (Bachelard, 1978 [1942]: 7-8, cit. en Pallasmaa, 2014: 53). En </w:t>
      </w:r>
      <w:r>
        <w:rPr>
          <w:i/>
          <w:iCs/>
        </w:rPr>
        <w:t>Altiplano</w:t>
      </w:r>
      <w:r>
        <w:rPr/>
        <w:t xml:space="preserve">, el narrador nombra; el comunario, que despeja y amontona, conoce. Cárcamo Pino llama </w:t>
      </w:r>
      <w:r>
        <w:rPr>
          <w:i/>
          <w:iCs/>
        </w:rPr>
        <w:t>manuaje</w:t>
      </w:r>
      <w:r>
        <w:rPr/>
        <w:t xml:space="preserve"> a lo que hacen las manos cuando piensan, expresan o comunican: un «neologismo homólogo al lenguaje, pero con las manos» (Cárcamo Pino, 2019: 1412, cit. en Cárcamo Pino, 2025b: 244). Escribir es una de esas acciones, y cada oficio tiene su </w:t>
      </w:r>
      <w:r>
        <w:rPr>
          <w:i/>
          <w:iCs/>
        </w:rPr>
        <w:t>manoaje</w:t>
      </w:r>
      <w:r>
        <w:rPr/>
        <w:t xml:space="preserve">, «un subgrupo contextual de acciones manuales» (Cárcamo Pino, 2025b: 259). Cárcamo Pino recuerda además que la misma mano hace dos agarres: el de fuerza, como al tomar un martillo, y el de precisión, como al «sujetar un papel con dos yemas dactilares» (Cárcamo Pino, 2025a: 10). </w:t>
      </w:r>
      <w:r>
        <w:rPr>
          <w:i/>
          <w:iCs/>
        </w:rPr>
        <w:t>Altiplano</w:t>
      </w:r>
      <w:r>
        <w:rPr/>
        <w:t xml:space="preserve"> pone los dos a la vista.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rPr/>
      </w:pPr>
      <w:r>
        <w:rP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 </w:t>
      </w:r>
      <w:r>
        <w:rPr>
          <w:i/>
          <w:iCs/>
        </w:rPr>
        <w:t>kuraka</w:t>
      </w:r>
      <w:r>
        <w:rPr/>
        <w:t xml:space="preserve"> de Achacachi sostenían escuelas propias ya en 1929 (Barnadas, 1978 [1975]: 84). La pregunta no es si la mano o el papel, sino qué prácticas se autorizan y cuáles quedaron «minusvaloradas, invisibilizadas» por el «monopolio de la escritura y el lenguaje» (Cárcamo Pino, 2025b: 259).</w:t>
      </w:r>
    </w:p>
    <w:p>
      <w:pPr>
        <w:pStyle w:val="BodyText"/>
        <w:rPr/>
      </w:pPr>
      <w:r>
        <w:rPr/>
        <w:t>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w:t>
      </w:r>
    </w:p>
    <w:p>
      <w:pPr>
        <w:pStyle w:val="BodyText"/>
        <w:rPr/>
      </w:pPr>
      <w:r>
        <w:rPr/>
        <w:t xml:space="preserve">El método sigue los cuatro pasos que Simon Lundberg propone para explorar la imagen arquitectónica: observación, disección, ensamblaje e inmersión (Lundberg, 2019: 3). La </w:t>
      </w:r>
      <w:r>
        <w:rPr>
          <w:i/>
          <w:iCs/>
        </w:rPr>
        <w:t>observación</w:t>
      </w:r>
      <w:r>
        <w:rPr/>
        <w:t xml:space="preserve"> reúne en un fichero los datos del texto, con su página. La </w:t>
      </w:r>
      <w:r>
        <w:rPr>
          <w:i/>
          <w:iCs/>
        </w:rPr>
        <w:t>disección</w:t>
      </w:r>
      <w:r>
        <w:rPr/>
        <w:t xml:space="preserve"> separa las partes y las ordena según cuatro funciones constructivas: apoyo, vano, masa y límite (Cuadro 1). El </w:t>
      </w:r>
      <w:r>
        <w:rPr>
          <w:i/>
          <w:iCs/>
        </w:rPr>
        <w:t>ensamblaje</w:t>
      </w:r>
      <w:r>
        <w:rPr/>
        <w:t xml:space="preserve"> las vuelve a juntar, como el </w:t>
      </w:r>
      <w:r>
        <w:rPr>
          <w:i/>
          <w:iCs/>
        </w:rPr>
        <w:t>capriccio</w:t>
      </w:r>
      <w:r>
        <w:rPr/>
        <w:t xml:space="preserve"> de Canaletto, que reunía edificios de ciudades distintas en una ciudad «completamente imaginaria» (ibid.: 3); sus decisiones, un perfil o una analogía, son del dibujante y no cuentan como hallazgos. La </w:t>
      </w:r>
      <w:r>
        <w:rPr>
          <w:i/>
          <w:iCs/>
        </w:rPr>
        <w:t>inmersión</w:t>
      </w:r>
      <w:r>
        <w:rPr/>
        <w:t xml:space="preserve"> da atmósfera, sin confundirse «con el realismo visual» (ibid.: 21). Los dos primeros pasos se hacen sobre el texto; los dos últimos, en el pastel.</w:t>
      </w:r>
    </w:p>
    <w:p>
      <w:pPr>
        <w:pStyle w:val="BodyText"/>
        <w:rPr/>
      </w:pPr>
      <w:r>
        <w:rPr/>
        <w:t xml:space="preserve">El pastel conviene a esta novela porque su prosa mide el espacio con el cuerpo. En la jaula de la mina, Condori siente, «como si faltase suelo bajo sus pies», «la vertiginosa caída» (Botelho Gosálvez, 1982 [1945]: 143). Abbie Garrington llama </w:t>
      </w:r>
      <w:r>
        <w:rPr>
          <w:i/>
          <w:iCs/>
        </w:rPr>
        <w:t>háptico</w:t>
      </w:r>
      <w:r>
        <w:rPr/>
        <w:t xml:space="preserve"> a ese registro, el del tacto y el movimiento del cuerpo (Garrington, 2013: 16). A una prosa del tacto le corresponde un dibujo hecho con los dedos. Cada figura se examina en tres planos: (1) </w:t>
      </w:r>
      <w:r>
        <w:rPr>
          <w:i/>
          <w:iCs/>
        </w:rPr>
        <w:t>Texto</w:t>
      </w:r>
      <w:r>
        <w:rPr/>
        <w:t xml:space="preserve">, lo que describe la novela; (2) </w:t>
      </w:r>
      <w:r>
        <w:rPr>
          <w:i/>
          <w:iCs/>
        </w:rPr>
        <w:t>Operación</w:t>
      </w:r>
      <w:r>
        <w:rPr/>
        <w:t xml:space="preserve">, lo que hace el pastel con la materia; (3) </w:t>
      </w:r>
      <w:r>
        <w:rPr>
          <w:i/>
          <w:iCs/>
        </w:rPr>
        <w:t>Contraste</w:t>
      </w:r>
      <w:r>
        <w:rPr/>
        <w:t>, lo que el esquema obliga a decidir y el texto deja abierto o contradice, comparado, cuando se puede, con fuentes andinas.</w:t>
      </w:r>
    </w:p>
    <w:p>
      <w:pPr>
        <w:pStyle w:val="BodyText"/>
        <w:rPr/>
      </w:pPr>
      <w:r>
        <w:rPr>
          <w:b/>
          <w:bCs/>
        </w:rPr>
        <w:t>Cuadro 1.</w:t>
      </w:r>
      <w:r>
        <w:rPr/>
        <w:t xml:space="preserve"> </w:t>
      </w:r>
      <w:r>
        <w:rPr>
          <w:i/>
          <w:iCs/>
        </w:rPr>
        <w:t>Disección tectónica de las seis figuras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81"/>
        <w:gridCol w:w="1881"/>
        <w:gridCol w:w="1881"/>
        <w:gridCol w:w="1881"/>
        <w:gridCol w:w="1882"/>
      </w:tblGrid>
      <w:tr>
        <w:trPr>
          <w:tblHeader w:val="true"/>
        </w:trPr>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Figura</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Apoyo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Vano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Masa</w:t>
            </w:r>
          </w:p>
        </w:tc>
        <w:tc>
          <w:tcPr>
            <w:tcW w:w="1882"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Límite</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 Cráneo/nido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Muros de piedra del cerro (8); vigas atadas con paja (31)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puerta; el portal de la despedida (34)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Hollín, brasero, camastros de un adobe (30-31)</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Techo de paja con cruz y huaca (10)</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 Signo Escalonado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Peones que sostienen a los Villca (21)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Quienes «no tienen historia» (22)</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Tierras de los Villca (20)</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Estacas, mojones, títulos (9, 20, 36-37)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 Apacheta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Paulo, «gallardete clavado»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«Fauces del abismo»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Cumbres «góticas», niebla (109)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«Muralla que condena el horizonte» (108)</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 Castillete</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Callapos; viga que se quiebra (145, 154)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Pique, nichos, jaula, boquete (141-144)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Agua, cascotes, montón (144, 154)</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Rejilla; agua sobre el cuerpo (143-153)</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 Pelvis telúrica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Cadera del ganado (64)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Vertientes secas (58)</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 agrietada (56)</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Cielo sin pincelada (57)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 Centinela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Cayado; vara de Jilakata (73, 75)</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Puertas batidas (79)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Chujlla de los Villca (79)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Mirada sobre la inmensidad (80)</w:t>
            </w:r>
          </w:p>
        </w:tc>
      </w:tr>
    </w:tbl>
    <w:p>
      <w:pPr>
        <w:pStyle w:val="BodyText"/>
        <w:rPr/>
      </w:pPr>
      <w:bookmarkStart w:id="3" w:name="X92427c7b6fba06e7fef4b61070b9c7628a70d2e"/>
      <w:r>
        <w:rPr/>
        <w:t>Fuente: elaboración propia a partir de Botelho Gosálvez (1982 [1945]); entre paréntesis, páginas de la novela.</w:t>
      </w:r>
      <w:bookmarkEnd w:id="3"/>
    </w:p>
    <w:p>
      <w:pPr>
        <w:pStyle w:val="Heading2"/>
        <w:rPr/>
      </w:pPr>
      <w:bookmarkStart w:id="4" w:name="X2ca922873cfceb7333a31b77617b9aa1ee4c107"/>
      <w:r>
        <w:rPr/>
        <w:t>3. La chujlla: una casa a la medida del cuerpo</w:t>
      </w:r>
    </w:p>
    <w:p>
      <w:pPr>
        <w:pStyle w:val="FirstParagraph"/>
        <w:rPr/>
      </w:pPr>
      <w:r>
        <w:rPr/>
        <w:t xml:space="preserve">El narrador presenta el ayllu desde lo alto, como en un plano de situación: en la falda del cerro, «las chujllas de las familias más antiguas han trepado en los riscos del cerro y desde allí parecen ocupar un sitio de preeminencia sobre el resto de chozas» (Botelho Gosálvez, 1982 [1945]: 6). La palabra clave es </w:t>
      </w:r>
      <w:r>
        <w:rPr>
          <w:i/>
          <w:iCs/>
        </w:rPr>
        <w:t>parecen</w:t>
      </w:r>
      <w:r>
        <w:rPr/>
        <w:t>: la jerarquía es una lectura del narrador sobre la pendiente, no un dato de la pendiente.</w:t>
      </w:r>
    </w:p>
    <w:p>
      <w:pPr>
        <w:pStyle w:val="BodyText"/>
        <w:rPr/>
      </w:pPr>
      <w:r>
        <w:rPr/>
        <w:t>La chujlla de los Huanca permite medir la casa.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guarda las herramientas de las manos. Es una caja de herramientas, que para Cárcamo Pino es a las manos lo que un idioma a la lengua (Cárcamo Pino, 2025a: 12). El narrador, en cambio, entra como un intruso que no habita, sino que escribe: los camastros son «morada de piojos y pulgas» (Botelho Gosálvez, 1982 [1945]: 31). Pallasmaa recuerda que «la casa es una metáfora del cuerpo y el cuerpo una metáfora de la casa» (Pallasmaa, 2014: 159); el narrador hace de la chujlla una madriguera. Su umbral es el «portal de su chujlla» desde el que Paulo Huanca ve partir a los hijos que la escasez expulsa (Botelho Gosálvez, 1982 [1945]: 34).</w:t>
      </w:r>
    </w:p>
    <w:p>
      <w:pPr>
        <w:pStyle w:val="BodyText"/>
        <w:rPr/>
      </w:pPr>
      <w:r>
        <w:rPr>
          <w:b/>
          <w:bCs/>
        </w:rPr>
        <w:t xml:space="preserve">Figura 1. </w:t>
      </w:r>
      <w:r>
        <w:rPr>
          <w:b/>
          <w:bCs/>
          <w:i/>
          <w:iCs/>
        </w:rPr>
        <w:t>Cráneo/nido</w:t>
      </w:r>
      <w:r>
        <w:rPr>
          <w:b/>
          <w:bCs/>
        </w:rPr>
        <w:t>.</w:t>
      </w:r>
      <w:r>
        <w:rPr/>
        <w:t xml:space="preserve"> (1) </w:t>
      </w:r>
      <w:r>
        <w:rPr>
          <w:i/>
          <w:iCs/>
        </w:rPr>
        <w:t>Texto</w:t>
      </w:r>
      <w:r>
        <w:rPr/>
        <w:t xml:space="preserve">. Muros de piedra de dos metros de alto, fuego al centro, herramientas colgadas de las vigas (ibid.: 8, 30-31) y, en el techo, un crucifijo con «una pequeña huaca de barro cocido» (ibid.: 10). (2) </w:t>
      </w:r>
      <w:r>
        <w:rPr>
          <w:i/>
          <w:iCs/>
        </w:rPr>
        <w:t>Operación</w:t>
      </w:r>
      <w:r>
        <w:rPr/>
        <w:t xml:space="preserve">. Un corte a la altura de una persona sentada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 </w:t>
      </w:r>
      <w:r>
        <w:rPr>
          <w:i/>
          <w:iCs/>
        </w:rPr>
        <w:t>Contraste</w:t>
      </w:r>
      <w:r>
        <w:rPr/>
        <w:t xml:space="preserve">. El esquema tiene que decidir desde dónde se mira, y el texto ofrece dos lugares: el del narrador, intruso en la puerta, y el del cuerpo que habita, al que remiten el hollín, los camastros y las herramientas. El corte elige el segundo y se detiene </w:t>
      </w:r>
      <w:ins w:id="2" w:author="Unknown Author" w:date="2026-09-28T16:12:25Z">
        <w:r>
          <w:rPr/>
          <w:t xml:space="preserve">ante el </w:t>
        </w:r>
      </w:ins>
      <w:del w:id="3" w:author="Unknown Author" w:date="2026-09-28T16:12:25Z">
        <w:r>
          <w:rPr/>
          <w:delText xml:space="preserve">donde se detiene el narrador: en el </w:delText>
        </w:r>
      </w:del>
      <w:r>
        <w:rPr/>
        <w:t xml:space="preserve">alma de los comunarios, </w:t>
      </w:r>
      <w:ins w:id="4" w:author="Unknown Author" w:date="2026-09-28T16:12:25Z">
        <w:r>
          <w:rPr/>
          <w:t>para no hablar por ellos. El narrador, en cambio, la declara cerrada, «</w:t>
        </w:r>
      </w:ins>
      <w:del w:id="5" w:author="Unknown Author" w:date="2026-09-28T16:12:25Z">
        <w:r>
          <w:rPr/>
          <w:delText xml:space="preserve">porque «en su secreto, </w:delText>
        </w:r>
      </w:del>
      <w:r>
        <w:rPr/>
        <w:t>nadie podía entrar</w:t>
      </w:r>
      <w:ins w:id="6" w:author="Unknown Author" w:date="2026-09-28T16:12:25Z">
        <w:r>
          <w:rPr/>
          <w:t>», y los ve como estatuas de «hierático aspecto</w:t>
        </w:r>
      </w:ins>
      <w:r>
        <w:rPr/>
        <w:t>» (Botelho Gosálvez, 1982 [1945]: 65).</w:t>
      </w:r>
    </w:p>
    <w:p>
      <w:pPr>
        <w:pStyle w:val="Figura"/>
        <w:rPr/>
      </w:pPr>
      <w:r>
        <w:rPr/>
        <w:drawing>
          <wp:inline distT="0" distB="0" distL="0" distR="0">
            <wp:extent cx="5039995" cy="286702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5039995" cy="2867025"/>
                    </a:xfrm>
                    <a:prstGeom prst="rect">
                      <a:avLst/>
                    </a:prstGeom>
                  </pic:spPr>
                </pic:pic>
              </a:graphicData>
            </a:graphic>
          </wp:inline>
        </w:drawing>
      </w:r>
    </w:p>
    <w:p>
      <w:pPr>
        <w:pStyle w:val="Piedefigura"/>
        <w:rPr/>
      </w:pPr>
      <w:r>
        <w:rPr>
          <w:b/>
          <w:bCs/>
        </w:rPr>
        <w:t>Figura 1.</w:t>
      </w:r>
      <w:r>
        <w:rPr/>
        <w:t xml:space="preserve"> </w:t>
      </w:r>
      <w:r>
        <w:rPr>
          <w:i/>
          <w:iCs/>
        </w:rPr>
        <w:t>Cráneo/nido: sección de la chujlla de los Huanca</w:t>
      </w:r>
      <w:r>
        <w:rPr/>
        <w:t>. Esquema de encaje del pastel al óleo. Fuente: elaboración propia con asistencia de IA.</w:t>
      </w:r>
    </w:p>
    <w:p>
      <w:pPr>
        <w:pStyle w:val="BodyText"/>
        <w:rPr/>
      </w:pPr>
      <w:r>
        <w:rPr/>
        <w:t>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rPr/>
      </w:pPr>
      <w:r>
        <w:rPr/>
        <w:t>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Hasta los edificios son cómplices.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rPr/>
      </w:pPr>
      <w:r>
        <w:rPr>
          <w:b/>
          <w:bCs/>
        </w:rPr>
        <w:t xml:space="preserve">Figura 2. </w:t>
      </w:r>
      <w:r>
        <w:rPr>
          <w:b/>
          <w:bCs/>
          <w:i/>
          <w:iCs/>
        </w:rPr>
        <w:t>Signo Escalonado frente al mapa</w:t>
      </w:r>
      <w:r>
        <w:rPr>
          <w:b/>
          <w:bCs/>
        </w:rPr>
        <w:t>.</w:t>
      </w:r>
      <w:r>
        <w:rPr/>
        <w:t xml:space="preserve"> (1) </w:t>
      </w:r>
      <w:r>
        <w:rPr>
          <w:i/>
          <w:iCs/>
        </w:rPr>
        <w:t>Texto</w:t>
      </w:r>
      <w:r>
        <w:rP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 </w:t>
      </w:r>
      <w:r>
        <w:rPr>
          <w:i/>
          <w:iCs/>
        </w:rPr>
        <w:t>Operación</w:t>
      </w:r>
      <w:r>
        <w:rP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Entre el signo y el mapa cambia la operación de la mano, no la mano. (3) </w:t>
      </w:r>
      <w:r>
        <w:rPr>
          <w:i/>
          <w:iCs/>
        </w:rPr>
        <w:t>Contraste</w:t>
      </w:r>
      <w:r>
        <w:rPr/>
        <w:t>.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rPr/>
      </w:pPr>
      <w:r>
        <w:rPr/>
        <w:drawing>
          <wp:inline distT="0" distB="0" distL="0" distR="0">
            <wp:extent cx="4679950" cy="378650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679950" cy="3786505"/>
                    </a:xfrm>
                    <a:prstGeom prst="rect">
                      <a:avLst/>
                    </a:prstGeom>
                  </pic:spPr>
                </pic:pic>
              </a:graphicData>
            </a:graphic>
          </wp:inline>
        </w:drawing>
      </w:r>
    </w:p>
    <w:p>
      <w:pPr>
        <w:pStyle w:val="Piedefigura"/>
        <w:rPr/>
      </w:pPr>
      <w:r>
        <w:rPr>
          <w:b/>
          <w:bCs/>
        </w:rPr>
        <w:t>Figura 2.</w:t>
      </w:r>
      <w:r>
        <w:rPr/>
        <w:t xml:space="preserve"> </w:t>
      </w:r>
      <w:r>
        <w:rPr>
          <w:i/>
          <w:iCs/>
        </w:rPr>
        <w:t>Signo Escalonado frente al mapa: el cerro de Jatun-Kolla en sección y en planta</w:t>
      </w:r>
      <w:r>
        <w:rPr/>
        <w:t>. Esquema de encaje del pastel al óleo. Fuente: elaboración propia con asistencia de IA.</w:t>
      </w:r>
      <w:bookmarkEnd w:id="4"/>
    </w:p>
    <w:p>
      <w:pPr>
        <w:pStyle w:val="Heading2"/>
        <w:rPr/>
      </w:pPr>
      <w:bookmarkStart w:id="5" w:name="umacachi-la-trampa-de-los-papeles"/>
      <w:r>
        <w:rPr/>
        <w:t>4. Umacachi: la trampa de los papeles</w:t>
      </w:r>
    </w:p>
    <w:p>
      <w:pPr>
        <w:pStyle w:val="FirstParagraph"/>
        <w:rPr/>
      </w:pPr>
      <w:r>
        <w:rPr/>
        <w:t>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rPr/>
      </w:pPr>
      <w:r>
        <w:rPr/>
        <w:t xml:space="preserve">Allí manda el Alcalde vitalicio, el doctor Margarito Mendoza, que anda «con el fajo de expedientes bajo el brazo» y sabe «tejer obscuras mallas de términos seudo jurídicos»; los tinterillos «urden pleitos por nada» (ibid.: 86). </w:t>
      </w:r>
      <w:r>
        <w:rPr>
          <w:i/>
          <w:iCs/>
        </w:rPr>
        <w:t>Urdir</w:t>
      </w:r>
      <w:r>
        <w:rPr/>
        <w:t xml:space="preserve"> 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w:t>
      </w:r>
    </w:p>
    <w:p>
      <w:pPr>
        <w:pStyle w:val="BodyText"/>
        <w:rPr/>
      </w:pPr>
      <w:r>
        <w:rPr/>
        <w:t>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rPr/>
      </w:pPr>
      <w:r>
        <w:rPr/>
        <w:t>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Rechaza la defensa, aunque una amenaza lo obliga a pagar la consulta (ibid.: 105). La escena no enfrenta a un indio ignorante con la escritura. Y calla que, en la historia real,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rPr/>
      </w:pPr>
      <w:r>
        <w:rP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 </w:t>
      </w:r>
      <w:r>
        <w:rPr>
          <w:i/>
          <w:iCs/>
        </w:rPr>
        <w:t>domesticar</w:t>
      </w:r>
      <w:r>
        <w:rPr/>
        <w:t xml:space="preserve"> viene de </w:t>
      </w:r>
      <w:r>
        <w:rPr>
          <w:i/>
          <w:iCs/>
        </w:rPr>
        <w:t>domus</w:t>
      </w:r>
      <w:r>
        <w:rPr/>
        <w:t>, casa: la aldea los alojó como a animales de casa.</w:t>
      </w:r>
      <w:bookmarkEnd w:id="5"/>
    </w:p>
    <w:p>
      <w:pPr>
        <w:pStyle w:val="Heading2"/>
        <w:rPr/>
      </w:pPr>
      <w:bookmarkStart w:id="6" w:name="el-éxodo-los-yungas-y-la-mina"/>
      <w:r>
        <w:rPr/>
        <w:t>5. El éxodo: los Yungas y la mina</w:t>
      </w:r>
    </w:p>
    <w:p>
      <w:pPr>
        <w:pStyle w:val="FirstParagraph"/>
        <w:rPr/>
      </w:pPr>
      <w:r>
        <w:rPr/>
        <w:t>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En la apacheta, el viento sacude el poncho de Paulo Huanca «como un gallardete clavado en la ceja de la apacheta», su familia reza de rodillas y las cumbres se alzan «semejantes a fantásticas construcciones góticas» (ibid.: 109). El narrador vuelve a proyectar: mira la cordillera con la arquitectura de Europa.</w:t>
      </w:r>
    </w:p>
    <w:p>
      <w:pPr>
        <w:pStyle w:val="BodyText"/>
        <w:rPr/>
      </w:pPr>
      <w:r>
        <w:rP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y solo lo anota en la planilla cuando Paulo se ofrece como «peón, siquiera»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 </w:t>
      </w:r>
      <w:r>
        <w:rPr>
          <w:i/>
          <w:iCs/>
        </w:rPr>
        <w:t>crimen</w:t>
      </w:r>
      <w:r>
        <w:rPr/>
        <w:t>, que el narrador reserva para la muerte de Condori (ibid.: 154), no alcanza al patrón, y lo único que la novela deja hacer a la mano de la muchacha es quitarse la vida. El único cruce logrado lo hacen los monos: forman sobre el río «una cadena cogiéndose de manos» (ibid.: 121). Es una arquitectura de manos.</w:t>
      </w:r>
    </w:p>
    <w:p>
      <w:pPr>
        <w:pStyle w:val="BodyText"/>
        <w:rPr/>
      </w:pPr>
      <w:r>
        <w:rPr>
          <w:b/>
          <w:bCs/>
        </w:rPr>
        <w:t xml:space="preserve">Figura 3. </w:t>
      </w:r>
      <w:r>
        <w:rPr>
          <w:b/>
          <w:bCs/>
          <w:i/>
          <w:iCs/>
        </w:rPr>
        <w:t>Umbral de la apacheta</w:t>
      </w:r>
      <w:r>
        <w:rPr>
          <w:b/>
          <w:bCs/>
        </w:rPr>
        <w:t>.</w:t>
      </w:r>
      <w:r>
        <w:rPr/>
        <w:t xml:space="preserve"> (1) </w:t>
      </w:r>
      <w:r>
        <w:rPr>
          <w:i/>
          <w:iCs/>
        </w:rPr>
        <w:t>Texto</w:t>
      </w:r>
      <w:r>
        <w:rPr/>
        <w:t xml:space="preserve">. Un umbral sin piedras. El glosario define la apacheta como «abra de las cordilleras y cumbre de los caminos» (Botelho Gosálvez, 1982 [1945]: 160): un lugar, no un montón. La novela la marca con un cuerpo erguido, la familia arrodillada y la «fauce» del yunga (ibid.: 109) y, más abajo, el puente de monos (ibid.: 121). (2) </w:t>
      </w:r>
      <w:r>
        <w:rPr>
          <w:i/>
          <w:iCs/>
        </w:rPr>
        <w:t>Operación</w:t>
      </w:r>
      <w:r>
        <w:rPr/>
        <w:t xml:space="preserve">. Una hoja apaisada partida por la cresta. Del lado de la puna, pastel seco sobre papel de grano grueso, que asoma como piedra; del lado del yunga, pastel disuelto en capas transparentes que chorrean. En la cresta, una técnica se vuelve la otra. (3) </w:t>
      </w:r>
      <w:r>
        <w:rPr>
          <w:i/>
          <w:iCs/>
        </w:rPr>
        <w:t>Contraste</w:t>
      </w:r>
      <w:r>
        <w:rPr/>
        <w:t xml:space="preserve">. El esquema sigue al texto y dibuja un umbral sin montón. Pero el aymara colonial llama </w:t>
      </w:r>
      <w:r>
        <w:rPr>
          <w:i/>
          <w:iCs/>
        </w:rPr>
        <w:t>apachita</w:t>
      </w:r>
      <w:r>
        <w:rPr/>
        <w:t xml:space="preserve"> al «montón de piedras, que por superstición van haciendo los caminantes y los adoran» (Bertonio, 2011 [1612]: 317), en el que se pegaba «coca mascada con las manos» (ibid.: 349): un montón que crece con cada viajero, obra de muchas manos. La novela lo cambia por una muralla y un cuerpo clavado. En la hoja partida, los Yungas son un cambio de estado de la materia y de la mano: la cera se funde como Paulo, </w:t>
      </w:r>
      <w:r>
        <w:rPr>
          <w:i/>
          <w:iCs/>
        </w:rPr>
        <w:t>wank’a</w:t>
      </w:r>
      <w:r>
        <w:rPr/>
        <w:t xml:space="preserve"> fuera de su lugar. Y lo único que cruza el abismo es colectivo y está hecho de manos, como la apacheta que falta.</w:t>
      </w:r>
    </w:p>
    <w:p>
      <w:pPr>
        <w:pStyle w:val="Figura"/>
        <w:rPr/>
      </w:pPr>
      <w:r>
        <w:rPr/>
        <w:drawing>
          <wp:inline distT="0" distB="0" distL="0" distR="0">
            <wp:extent cx="5039995" cy="28270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039995" cy="2827020"/>
                    </a:xfrm>
                    <a:prstGeom prst="rect">
                      <a:avLst/>
                    </a:prstGeom>
                  </pic:spPr>
                </pic:pic>
              </a:graphicData>
            </a:graphic>
          </wp:inline>
        </w:drawing>
      </w:r>
    </w:p>
    <w:p>
      <w:pPr>
        <w:pStyle w:val="Piedefigura"/>
        <w:rPr/>
      </w:pPr>
      <w:r>
        <w:rPr>
          <w:b/>
          <w:bCs/>
        </w:rPr>
        <w:t>Figura 3.</w:t>
      </w:r>
      <w:r>
        <w:rPr/>
        <w:t xml:space="preserve"> </w:t>
      </w:r>
      <w:r>
        <w:rPr>
          <w:i/>
          <w:iCs/>
        </w:rPr>
        <w:t>Umbral de la apacheta: la ceja de la cordillera y la fauce del yunga</w:t>
      </w:r>
      <w:r>
        <w:rPr/>
        <w:t>. Esquema de encaje del pastel al óleo. Fuente: elaboración propia con asistencia de IA.</w:t>
      </w:r>
    </w:p>
    <w:p>
      <w:pPr>
        <w:pStyle w:val="BodyText"/>
        <w:rPr/>
      </w:pPr>
      <w:r>
        <w:rPr/>
        <w:t>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Por la mañana camina hacia la entrada por el desmonte (ibid.), la montaña de roca sin mineral que la mina saca y amontona: otra montaña de piedras, hecha con un cerro deshecho. El capataz le promete otra cosecha: «Aquí cosecharás miles de cargas de estaño» (ibid.: 142).</w:t>
      </w:r>
    </w:p>
    <w:p>
      <w:pPr>
        <w:pStyle w:val="BodyText"/>
        <w:rPr/>
      </w:pPr>
      <w:r>
        <w:rPr/>
        <w:t>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El agua mide el cuerpo, de los tobillos a las rodillas, la cintura y el ombligo (ibid.: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rPr/>
      </w:pPr>
      <w:r>
        <w:rPr>
          <w:b/>
          <w:bCs/>
        </w:rPr>
        <w:t xml:space="preserve">Figura 4. </w:t>
      </w:r>
      <w:r>
        <w:rPr>
          <w:b/>
          <w:bCs/>
          <w:i/>
          <w:iCs/>
        </w:rPr>
        <w:t>El castillete y la caída al plano 450</w:t>
      </w:r>
      <w:r>
        <w:rPr>
          <w:b/>
          <w:bCs/>
        </w:rPr>
        <w:t>.</w:t>
      </w:r>
      <w:r>
        <w:rPr/>
        <w:t xml:space="preserve"> (1) </w:t>
      </w:r>
      <w:r>
        <w:rPr>
          <w:i/>
          <w:iCs/>
        </w:rPr>
        <w:t>Texto</w:t>
      </w:r>
      <w:r>
        <w:rPr/>
        <w:t xml:space="preserve">. Torre, campamento escalonado, nichos, jaula, galería inundada, derrumbe (Botelho Gosálvez, 1982 [1945]: 134-154). (2) </w:t>
      </w:r>
      <w:r>
        <w:rPr>
          <w:i/>
          <w:iCs/>
        </w:rPr>
        <w:t>Operación</w:t>
      </w:r>
      <w:r>
        <w:rPr/>
        <w:t xml:space="preserve">. </w:t>
      </w:r>
      <w:del w:id="7" w:author="Unknown Author" w:date="2026-09-28T16:12:25Z">
        <w:r>
          <w:rPr/>
          <w:delText xml:space="preserve">Formato vertical. </w:delText>
        </w:r>
      </w:del>
      <w:r>
        <w:rPr/>
        <w:t xml:space="preserve">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 </w:t>
      </w:r>
      <w:r>
        <w:rPr>
          <w:i/>
          <w:iCs/>
        </w:rPr>
        <w:t>Contraste</w:t>
      </w:r>
      <w:r>
        <w:rPr/>
        <w:t>.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rPr/>
      </w:pPr>
      <w:r>
        <w:rPr/>
        <w:drawing>
          <wp:inline distT="0" distB="0" distL="0" distR="0">
            <wp:extent cx="3241675" cy="467995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3241675" cy="4679950"/>
                    </a:xfrm>
                    <a:prstGeom prst="rect">
                      <a:avLst/>
                    </a:prstGeom>
                  </pic:spPr>
                </pic:pic>
              </a:graphicData>
            </a:graphic>
          </wp:inline>
        </w:drawing>
      </w:r>
    </w:p>
    <w:p>
      <w:pPr>
        <w:pStyle w:val="Piedefigura"/>
        <w:rPr/>
      </w:pPr>
      <w:r>
        <w:rPr>
          <w:b/>
          <w:bCs/>
        </w:rPr>
        <w:t>Figura 4.</w:t>
      </w:r>
      <w:r>
        <w:rPr/>
        <w:t xml:space="preserve"> </w:t>
      </w:r>
      <w:r>
        <w:rPr>
          <w:i/>
          <w:iCs/>
        </w:rPr>
        <w:t>El castillete y la caída al plano 450</w:t>
      </w:r>
      <w:r>
        <w:rPr/>
        <w:t>. Esquema de encaje del pastel al óleo. Fuente: elaboración propia con asistencia de IA.</w:t>
      </w:r>
      <w:bookmarkEnd w:id="6"/>
    </w:p>
    <w:p>
      <w:pPr>
        <w:pStyle w:val="Heading2"/>
        <w:rPr/>
      </w:pPr>
      <w:bookmarkStart w:id="7" w:name="X708018351417205dc0884bafc6e4107def1df7f"/>
      <w:r>
        <w:rPr/>
        <w:t>6. La sequía y el linchamiento: el cuerpo en la catástrofe</w:t>
      </w:r>
    </w:p>
    <w:p>
      <w:pPr>
        <w:pStyle w:val="FirstParagraph"/>
        <w:rPr/>
      </w:pPr>
      <w:r>
        <w:rPr/>
        <w:t>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Pronto, «cielo y tierra eran para ellos como una tremenda cárcel» (ibid.: 72).</w:t>
      </w:r>
    </w:p>
    <w:p>
      <w:pPr>
        <w:pStyle w:val="BodyText"/>
        <w:rPr/>
      </w:pPr>
      <w:r>
        <w:rPr/>
        <w:t xml:space="preserve">El yatiri Basilio Quispe es acusado de causar la sequía: de sus ropas caen «dos muñequitos de lana» atravesados por una espina (Botelho Gosálvez, 1982 [1945]: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La escena admite dos lecturas. Una pasa por Francis Bacon: en </w:t>
      </w:r>
      <w:r>
        <w:rPr>
          <w:i/>
          <w:iCs/>
        </w:rPr>
        <w:t>Crucifixión</w:t>
      </w:r>
      <w:r>
        <w:rPr/>
        <w:t xml:space="preserve"> (1965), dos jueces examinan «las manipulaciones de la carne» (Martin, 2014: 85), como la comunidad y el lector ante el cuerpo de Basilio. La otra pasa por la </w:t>
      </w:r>
      <w:r>
        <w:rPr>
          <w:i/>
          <w:iCs/>
        </w:rPr>
        <w:t>kenchería</w:t>
      </w:r>
      <w:r>
        <w:rPr/>
        <w:t>,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w:t>
      </w:r>
    </w:p>
    <w:p>
      <w:pPr>
        <w:pStyle w:val="BodyText"/>
        <w:rPr/>
      </w:pPr>
      <w:r>
        <w:rPr>
          <w:b/>
          <w:bCs/>
        </w:rPr>
        <w:t xml:space="preserve">Figura 5. </w:t>
      </w:r>
      <w:r>
        <w:rPr>
          <w:b/>
          <w:bCs/>
          <w:i/>
          <w:iCs/>
        </w:rPr>
        <w:t>Pelvis telúrica / Pachamama sorda</w:t>
      </w:r>
      <w:r>
        <w:rPr>
          <w:b/>
          <w:bCs/>
        </w:rPr>
        <w:t>.</w:t>
      </w:r>
      <w:r>
        <w:rPr/>
        <w:t xml:space="preserve"> (1) </w:t>
      </w:r>
      <w:r>
        <w:rPr>
          <w:i/>
          <w:iCs/>
        </w:rPr>
        <w:t>Texto</w:t>
      </w:r>
      <w:r>
        <w:rPr/>
        <w:t xml:space="preserve">. «La Pacha Mama, sorda, vieja, extenuada, recibía el cuerpo de sus más fieles hijos para encerrarlos en su vientre de sequedad inexorable» (ibid.: 66); las vacas hambrientas muestran «las nalgas abiertas a la manera de una luna menguante» (ibid.: 64). (2) </w:t>
      </w:r>
      <w:r>
        <w:rPr>
          <w:i/>
          <w:iCs/>
        </w:rPr>
        <w:t>Operación</w:t>
      </w:r>
      <w:r>
        <w:rPr/>
        <w:t xml:space="preserve">. El cielo se deja en papel desnudo: la sequía como falta de pincelada. La cuenca seca de las vertientes (ibid.: 58) se dibuja como una pelvis, la cadera del ganado vuelta luna menguante, en blanco hueso sobre tierra de sombra, agrietada a punta de raspado. (3) </w:t>
      </w:r>
      <w:r>
        <w:rPr>
          <w:i/>
          <w:iCs/>
        </w:rPr>
        <w:t>Contraste</w:t>
      </w:r>
      <w:r>
        <w:rPr/>
        <w:t xml:space="preserve">. Que la tierra sea madre no lo inventa el narrador: para Bertonio, </w:t>
      </w:r>
      <w:r>
        <w:rPr>
          <w:i/>
          <w:iCs/>
        </w:rPr>
        <w:t>Pachamama</w:t>
      </w:r>
      <w:r>
        <w:rPr/>
        <w:t xml:space="preserve"> era «nombre de reverencia», y se le decía «yo seré tu hijo» (Bertonio, 2011 [1612]: 420); las montañas, en cambio, suelen ser masculinas (Dean, 2010: 68), como el cerro «padre del ayllu» (Botelho Gosálvez, 1982 [1945]: 8). Lo que sí es del narrador es el tono: una tierra que «abortó en plena gestación» (ibid.: 66) y, al final, «hembra paridora» (ibid.: 159); hasta el ayllu vacío es un «solar histérico, infecundo» (ibid.: 79), de </w:t>
      </w:r>
      <w:r>
        <w:rPr>
          <w:i/>
          <w:iCs/>
        </w:rPr>
        <w:t>hystéra</w:t>
      </w:r>
      <w:r>
        <w:rPr/>
        <w:t>,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rPr/>
      </w:pPr>
      <w:r>
        <w:rPr/>
        <w:drawing>
          <wp:inline distT="0" distB="0" distL="0" distR="0">
            <wp:extent cx="5039995" cy="274193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039995" cy="2741930"/>
                    </a:xfrm>
                    <a:prstGeom prst="rect">
                      <a:avLst/>
                    </a:prstGeom>
                  </pic:spPr>
                </pic:pic>
              </a:graphicData>
            </a:graphic>
          </wp:inline>
        </w:drawing>
      </w:r>
    </w:p>
    <w:p>
      <w:pPr>
        <w:pStyle w:val="Piedefigura"/>
        <w:rPr/>
      </w:pPr>
      <w:r>
        <w:rPr>
          <w:b/>
          <w:bCs/>
        </w:rPr>
        <w:t>Figura 5.</w:t>
      </w:r>
      <w:r>
        <w:rPr/>
        <w:t xml:space="preserve"> </w:t>
      </w:r>
      <w:r>
        <w:rPr>
          <w:i/>
          <w:iCs/>
        </w:rPr>
        <w:t>Pelvis telúrica / Pachamama sorda</w:t>
      </w:r>
      <w:r>
        <w:rPr/>
        <w:t>. Esquema de encaje del pastel al óleo. Fuente: elaboración propia con asistencia de IA.</w:t>
      </w:r>
    </w:p>
    <w:p>
      <w:pPr>
        <w:pStyle w:val="BodyText"/>
        <w:rPr/>
      </w:pPr>
      <w:r>
        <w:rPr>
          <w:b/>
          <w:bCs/>
        </w:rPr>
        <w:t xml:space="preserve">Figura 6. </w:t>
      </w:r>
      <w:r>
        <w:rPr>
          <w:b/>
          <w:bCs/>
          <w:i/>
          <w:iCs/>
        </w:rPr>
        <w:t>El centinela de la resistencia</w:t>
      </w:r>
      <w:r>
        <w:rPr>
          <w:b/>
          <w:bCs/>
        </w:rPr>
        <w:t>.</w:t>
      </w:r>
      <w:r>
        <w:rPr/>
        <w:t xml:space="preserve"> (1) </w:t>
      </w:r>
      <w:r>
        <w:rPr>
          <w:i/>
          <w:iCs/>
        </w:rPr>
        <w:t>Texto</w:t>
      </w:r>
      <w:r>
        <w:rP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 </w:t>
      </w:r>
      <w:r>
        <w:rPr>
          <w:i/>
          <w:iCs/>
        </w:rPr>
        <w:t>Operación</w:t>
      </w:r>
      <w:r>
        <w:rP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 </w:t>
      </w:r>
      <w:r>
        <w:rPr>
          <w:i/>
          <w:iCs/>
        </w:rPr>
        <w:t>Contraste</w:t>
      </w:r>
      <w:r>
        <w:rPr/>
        <w:t xml:space="preserve">. El narrador llama a los vigías «cancerberos» y «muertos en vida» (ibid.), pero también «celadores y enfermeros» (ibid.: 79). El esquema los traza como mojones, una decisión que el aymara respalda y el texto no. </w:t>
      </w:r>
      <w:r>
        <w:rPr>
          <w:i/>
          <w:iCs/>
        </w:rPr>
        <w:t>Achachi</w:t>
      </w:r>
      <w:r>
        <w:rPr/>
        <w:t xml:space="preserve">, que el glosario traduce por «anciano» (ibid.: 160), es también «la cepa de una casa o familia» y el «término o mojón de las tierras» (Bertonio, 2011 [1612]: 307). Y </w:t>
      </w:r>
      <w:r>
        <w:rPr>
          <w:i/>
          <w:iCs/>
        </w:rPr>
        <w:t>saywa</w:t>
      </w:r>
      <w:r>
        <w:rPr/>
        <w:t>,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w:t>
      </w:r>
    </w:p>
    <w:p>
      <w:pPr>
        <w:pStyle w:val="Figura"/>
        <w:rPr/>
      </w:pPr>
      <w:r>
        <w:rPr/>
        <w:drawing>
          <wp:inline distT="0" distB="0" distL="0" distR="0">
            <wp:extent cx="3844925" cy="467995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3844925" cy="4679950"/>
                    </a:xfrm>
                    <a:prstGeom prst="rect">
                      <a:avLst/>
                    </a:prstGeom>
                  </pic:spPr>
                </pic:pic>
              </a:graphicData>
            </a:graphic>
          </wp:inline>
        </w:drawing>
      </w:r>
    </w:p>
    <w:p>
      <w:pPr>
        <w:pStyle w:val="Piedefigura"/>
        <w:rPr/>
      </w:pPr>
      <w:r>
        <w:rPr>
          <w:b/>
          <w:bCs/>
        </w:rPr>
        <w:t>Figura 6.</w:t>
      </w:r>
      <w:r>
        <w:rPr/>
        <w:t xml:space="preserve"> </w:t>
      </w:r>
      <w:r>
        <w:rPr>
          <w:i/>
          <w:iCs/>
        </w:rPr>
        <w:t>El centinela de la resistencia: los tres vigías del ayllu vacío</w:t>
      </w:r>
      <w:r>
        <w:rPr/>
        <w:t>. Esquema de encaje del pastel al óleo. Fuente: elaboración propia con asistencia de IA.</w:t>
      </w:r>
      <w:bookmarkEnd w:id="7"/>
    </w:p>
    <w:p>
      <w:pPr>
        <w:pStyle w:val="Heading2"/>
        <w:rPr/>
      </w:pPr>
      <w:bookmarkStart w:id="8" w:name="Xd33dadc6dc41c4f190a3160c8a87a45b956b4eb"/>
      <w:r>
        <w:rPr/>
        <w:t>7. El retorno: reparar la casa, elegir la memoria</w:t>
      </w:r>
    </w:p>
    <w:p>
      <w:pPr>
        <w:pStyle w:val="FirstParagraph"/>
        <w:rPr/>
      </w:pPr>
      <w:r>
        <w:rPr/>
        <w:t xml:space="preserve">Con las heladas vuelven los sobrevivientes: «en el dintel de Jatun-Kolla se detenían para ponerse de rodillas y besar el suelo» (Botelho Gosálvez, 1982 [1945]: 155). El ayllu tiene dintel: es una casa. Han muerto más de ciento cincuenta comunarios (ibid.: 156). Reparar es un trabajo de manos y de piedra: «Las chujllas fueron reparadas del estrago, las pircas de piedra que separan las parcelas fueron compuestas» (ibid.). </w:t>
      </w:r>
      <w:r>
        <w:rPr>
          <w:i/>
          <w:iCs/>
        </w:rPr>
        <w:t>Compuestas</w:t>
      </w:r>
      <w:r>
        <w:rPr/>
        <w:t xml:space="preserve">: la palabra que los tratados de arquitectura reservaban al arquitecto vuelve aquí como faena comunal. Recomponer la pirca es volver a amojonar, lo que el aymara llama </w:t>
      </w:r>
      <w:r>
        <w:rPr>
          <w:i/>
          <w:iCs/>
        </w:rPr>
        <w:t>saywaña</w:t>
      </w:r>
      <w:r>
        <w:rPr/>
        <w:t xml:space="preserve">: «mojonar las chácaras con montones de piedra» (Bertonio, 2011 [1612]: 466). En Umacachi, la ordenanza se llevó los bueyes de los Villca, que se lamentaban: «Y ni siquiera tenemos una yunta» (Botelho Gosálvez, 1982 [1945]: 105). Al volver, sin yuntas, «los mismos hombres eran quienes tiraban el arado» (ibid.: 156). El cuerpo ocupa el lugar del buey. Y el narrador vuelve a convertirlos en piedra: trabajan «con una voluntad de siglos de piedra» (ibid.), una piedra fuera de la historia, no la </w:t>
      </w:r>
      <w:r>
        <w:rPr>
          <w:i/>
          <w:iCs/>
        </w:rPr>
        <w:t>wank’a</w:t>
      </w:r>
      <w:r>
        <w:rPr/>
        <w:t xml:space="preserve"> con dueño y con lugar.</w:t>
      </w:r>
    </w:p>
    <w:p>
      <w:pPr>
        <w:pStyle w:val="BodyText"/>
        <w:rPr/>
      </w:pPr>
      <w:r>
        <w:rPr/>
        <w:t>La memoria se construye igual que la casa. Cada uno guarda sus padecimientos «con el mismo pudor de los ex carcelados», y la memoria «no recordaba sino lo pasado antiguo, lo bueno y lo alegre de las cosechas» (ibid.):</w:t>
      </w:r>
    </w:p>
    <w:p>
      <w:pPr>
        <w:pStyle w:val="BlockText"/>
        <w:rPr/>
      </w:pPr>
      <w:r>
        <w:rPr/>
        <w:t>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rPr/>
      </w:pPr>
      <w:r>
        <w:rPr/>
        <w:t xml:space="preserve">Muralla, foso, atalaya: recordar es construir, y olvidar también. Es lo contrario del lema </w:t>
      </w:r>
      <w:ins w:id="8" w:author="Unknown Author" w:date="2026-09-28T16:12:25Z">
        <w:r>
          <w:rPr/>
          <w:t>del epígrafe</w:t>
        </w:r>
      </w:ins>
      <w:del w:id="9" w:author="Unknown Author" w:date="2026-09-28T16:12:25Z">
        <w:r>
          <w:rPr/>
          <w:delText>que abre este artículo</w:delText>
        </w:r>
      </w:del>
      <w:r>
        <w:rPr/>
        <w:t>: los comunarios de la novela no caminan mirando al pasado; lo esconden en un foso. La selección tiene nombres: «Llegaron los Villca, los Huanca, los Huallpa, los Yupanqui, los Ticona, los Choque, los Chuquihuanca» (ibid.: 156). Faltan los Condori, los Mamani y los Quispe, la «legión» sin tierra que cerraba la escalera del narrador (ibid.: 22). Juan Condori está enterrado en el cementerio de los mineros; los miembros de Basilio Quispe, «en muchos sitios» (ibid.: 69). El Signo Escalonado se rehace sin su último escalón. Una pirca de doble cara enseña lo que esa memoria olvida: las piedras grandes dan la cara, pero adentro, apretadas entre las dos caras, van las menudas, y sin ese relleno el muro se cae. El narrador también llama «legión» a la «piedrecilla menuda» que baja del cerro hasta las pircas (ibid.: 8). Los sin tierra fueron ese relleno: tres de ellos, sin nombre, cuidaron el ayllu vacío, y el retorno no los cuenta. Con la cosecha, los derrotados «olvidaron la pesadilla pasada», y la Pachamama recuperó «su prestigio de hembra paridora y múltiple» (ibid.: 159). La paz se paga con ese olvido.</w:t>
      </w:r>
    </w:p>
    <w:p>
      <w:pPr>
        <w:pStyle w:val="BodyText"/>
        <w:rPr/>
      </w:pPr>
      <w:bookmarkStart w:id="9" w:name="Xd33dadc6dc41c4f190a3160c8a87a45b956b4eb"/>
      <w:r>
        <w:rPr/>
        <w:t>Ursula K. Le Guin opuso dos formas de contar: la del arma, con forma de flecha,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bookmarkEnd w:id="9"/>
    </w:p>
    <w:p>
      <w:pPr>
        <w:pStyle w:val="Heading2"/>
        <w:rPr/>
      </w:pPr>
      <w:bookmarkStart w:id="10" w:name="X6513926464102a35f22aafc801b0596a5c3805e"/>
      <w:r>
        <w:rPr/>
        <w:t>8. Conclusiones: lo que muestra el dibujo y sus límites</w:t>
      </w:r>
    </w:p>
    <w:p>
      <w:pPr>
        <w:pStyle w:val="FirstParagraph"/>
        <w:rPr/>
      </w:pPr>
      <w:r>
        <w:rPr/>
        <w:t>La lectura permite sostener cuatro hallazgos. Primero: el montón de piedras es la arquitectura mínima de la novela, masa sin edificio, y la cosecha de estaño que promete el capataz (Botelho Gosálvez, 1982 [1945]: 142) es la captura de ese gesto por la máquina.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BodyText"/>
        <w:rPr/>
      </w:pPr>
      <w:r>
        <w:rPr/>
        <w:t>¿Qué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Leer con la mano no es solo ilustrar escenas, sino repetir operaciones: un manuaje de la lectura, táctil como la prosa que lee.</w:t>
      </w:r>
    </w:p>
    <w:p>
      <w:pPr>
        <w:pStyle w:val="BodyText"/>
        <w:rPr/>
      </w:pPr>
      <w:r>
        <w:rPr/>
        <w:t xml:space="preserve">El trabajo tiene tres límites. El primero es el que advertía Hall: el corte, el </w:t>
      </w:r>
      <w:r>
        <w:rPr>
          <w:i/>
          <w:iCs/>
        </w:rPr>
        <w:t>capriccio</w:t>
      </w:r>
      <w:r>
        <w:rPr/>
        <w:t xml:space="preserve">, Bacon, la tectónica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w:t>
      </w:r>
      <w:ins w:id="10" w:author="Unknown Author" w:date="2026-09-28T16:12:25Z">
        <w:r>
          <w:rPr/>
          <w:t>el alma</w:t>
        </w:r>
      </w:ins>
      <w:del w:id="11" w:author="Unknown Author" w:date="2026-09-28T16:12:25Z">
        <w:r>
          <w:rPr/>
          <w:delText>los sueños</w:delText>
        </w:r>
      </w:del>
      <w:r>
        <w:rPr/>
        <w:t xml:space="preserve"> que el narrador declara </w:t>
      </w:r>
      <w:ins w:id="12" w:author="Unknown Author" w:date="2026-09-28T16:12:25Z">
        <w:r>
          <w:rPr/>
          <w:t>cerrada</w:t>
        </w:r>
      </w:ins>
      <w:del w:id="13" w:author="Unknown Author" w:date="2026-09-28T16:12:25Z">
        <w:r>
          <w:rPr/>
          <w:delText>inaccesibles</w:delText>
        </w:r>
      </w:del>
      <w:r>
        <w:rPr/>
        <w:t>. El tercero es de método: el dibujo depende de los datos del texto y hereda sus silencios. Puede hacerlos visibles, pero no llenarlos.</w:t>
      </w:r>
    </w:p>
    <w:p>
      <w:pPr>
        <w:pStyle w:val="BodyText"/>
        <w:rPr/>
      </w:pPr>
      <w:r>
        <w:rP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puede impedir que el foso se cierre. Si en Jatun-Kolla habitar es despejar piedras, leer </w:t>
      </w:r>
      <w:r>
        <w:rPr>
          <w:i/>
          <w:iCs/>
        </w:rPr>
        <w:t>Altiplano</w:t>
      </w:r>
      <w:r>
        <w:rPr/>
        <w:t xml:space="preserve"> con la mano es, quizá, volver a amontonarlas para ver qué queda debajo.</w:t>
      </w:r>
      <w:bookmarkEnd w:id="10"/>
    </w:p>
    <w:p>
      <w:pPr>
        <w:pStyle w:val="Heading2"/>
        <w:rPr/>
      </w:pPr>
      <w:bookmarkStart w:id="11" w:name="declaraciones-finales"/>
      <w:r>
        <w:rPr/>
        <w:t>Declaraciones finales</w:t>
      </w:r>
    </w:p>
    <w:p>
      <w:pPr>
        <w:pStyle w:val="FirstParagraph"/>
        <w:rPr/>
      </w:pPr>
      <w:r>
        <w:rPr>
          <w:b/>
          <w:bCs/>
        </w:rPr>
        <w:t>Conflicto de intereses.</w:t>
      </w:r>
      <w:r>
        <w:rPr/>
        <w:t xml:space="preserve"> El autor declara no tener conflictos de intereses.</w:t>
      </w:r>
    </w:p>
    <w:p>
      <w:pPr>
        <w:pStyle w:val="BodyText"/>
        <w:rPr/>
      </w:pPr>
      <w:r>
        <w:rPr>
          <w:b/>
          <w:bCs/>
        </w:rPr>
        <w:t>Declaración de uso de inteligencia artificial.</w:t>
      </w:r>
      <w:r>
        <w:rPr/>
        <w:t xml:space="preserve"> a) </w:t>
      </w:r>
      <w:r>
        <w:rPr>
          <w:i/>
          <w:iCs/>
        </w:rPr>
        <w:t>Herramientas</w:t>
      </w:r>
      <w:r>
        <w:rPr/>
        <w:t xml:space="preserve">: Claude (Anthropic) y ChatGPT (OpenAI), asistentes de inteligencia artificial generativa. b) </w:t>
      </w:r>
      <w:r>
        <w:rPr>
          <w:i/>
          <w:iCs/>
        </w:rPr>
        <w:t>Alcance</w:t>
      </w:r>
      <w:r>
        <w:rPr/>
        <w:t xml:space="preserve">: se emplearon en la exploración bibliográfica, la transcripción y paginación de fuentes digitalizadas, la localización y el cotejo de citas con su página, el contraste de pasajes de la novela, la revisión conceptual y la redacción de borradores, y la codificación vectorial de los esquemas de encaje de las figuras 1 a 6. c) </w:t>
      </w:r>
      <w:r>
        <w:rPr>
          <w:i/>
          <w:iCs/>
        </w:rPr>
        <w:t>Rol</w:t>
      </w:r>
      <w:r>
        <w:rPr/>
        <w:t>: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bookmarkEnd w:id="11"/>
    </w:p>
    <w:p>
      <w:pPr>
        <w:pStyle w:val="Heading2"/>
        <w:rPr/>
      </w:pPr>
      <w:bookmarkStart w:id="12" w:name="bibliografía"/>
      <w:r>
        <w:rPr/>
        <w:t>Bibliografía</w:t>
      </w:r>
    </w:p>
    <w:p>
      <w:pPr>
        <w:pStyle w:val="FirstParagraph"/>
        <w:rPr/>
      </w:pPr>
      <w:r>
        <w:rPr/>
        <w:t xml:space="preserve">Bachelard, Gaston (1978 [1942]). </w:t>
      </w:r>
      <w:r>
        <w:rPr>
          <w:i/>
          <w:iCs/>
        </w:rPr>
        <w:t>El agua y los sueños. Ensayo sobre la imaginación de la materia</w:t>
      </w:r>
      <w:r>
        <w:rPr/>
        <w:t>. México: Fondo de Cultura Económica.</w:t>
      </w:r>
    </w:p>
    <w:p>
      <w:pPr>
        <w:pStyle w:val="BodyText"/>
        <w:rPr/>
      </w:pPr>
      <w:r>
        <w:rPr/>
        <w:t xml:space="preserve">Barnadas, Josep M. (1978 [1975]). </w:t>
      </w:r>
      <w:r>
        <w:rPr>
          <w:i/>
          <w:iCs/>
        </w:rPr>
        <w:t>Apuntes para una historia aymara</w:t>
      </w:r>
      <w:r>
        <w:rPr/>
        <w:t>. 2.ª ed. La Paz: CIPCA (Cuadernos de Investigación, 6).</w:t>
      </w:r>
    </w:p>
    <w:p>
      <w:pPr>
        <w:pStyle w:val="BodyText"/>
        <w:rPr/>
      </w:pPr>
      <w:r>
        <w:rPr/>
        <w:t xml:space="preserve">Bertonio, Ludovico (2011 [1612]). </w:t>
      </w:r>
      <w:r>
        <w:rPr>
          <w:i/>
          <w:iCs/>
        </w:rPr>
        <w:t>Transcripción del vocabulario de la lengua aymara</w:t>
      </w:r>
      <w:r>
        <w:rPr/>
        <w:t>. La Paz: Radio San Gabriel (1993) e ILLA-A (ed. digital).</w:t>
      </w:r>
    </w:p>
    <w:p>
      <w:pPr>
        <w:pStyle w:val="BodyText"/>
        <w:rPr/>
      </w:pPr>
      <w:r>
        <w:rPr/>
        <w:t xml:space="preserve">Botelho Gosálvez, Raúl (1982 [1945]). </w:t>
      </w:r>
      <w:r>
        <w:rPr>
          <w:i/>
          <w:iCs/>
        </w:rPr>
        <w:t>Altiplano</w:t>
      </w:r>
      <w:r>
        <w:rPr/>
        <w:t>. 7.ª ed. La Paz: Librería Editorial Juventud.</w:t>
      </w:r>
    </w:p>
    <w:p>
      <w:pPr>
        <w:pStyle w:val="BodyText"/>
        <w:rPr/>
      </w:pPr>
      <w:r>
        <w:rPr/>
        <w:t xml:space="preserve">Cárcamo Pino, Mauricio Arnoldo (2019). “Thinking and Intelligence in the Architectural Design. A Review from Language, Graphuage and Manuage”. En Carlos Luis Marcos Alba (ed.), </w:t>
      </w:r>
      <w:r>
        <w:rPr>
          <w:i/>
          <w:iCs/>
        </w:rPr>
        <w:t>Graphic Imprints. The Influence of Representation and Ideation Tools in Architecture. EGA 2018</w:t>
      </w:r>
      <w:r>
        <w:rPr/>
        <w:t>. Cham: Springer: 1411-1423.</w:t>
      </w:r>
    </w:p>
    <w:p>
      <w:pPr>
        <w:pStyle w:val="BodyText"/>
        <w:rPr/>
      </w:pPr>
      <w:r>
        <w:rPr/>
        <w:t xml:space="preserve">Cárcamo Pino, Mauricio Arnoldo (2025a). “Madera, herramientas y manuaje. Notas para una ontología evolutiva del diseñar”. </w:t>
      </w:r>
      <w:r>
        <w:rPr>
          <w:i/>
          <w:iCs/>
        </w:rPr>
        <w:t>Revista Arteoficio</w:t>
      </w:r>
      <w:r>
        <w:rPr/>
        <w:t>, 21: 5-12. https://doi.org/10.35588/nn3v3487</w:t>
      </w:r>
    </w:p>
    <w:p>
      <w:pPr>
        <w:pStyle w:val="BodyText"/>
        <w:rPr/>
      </w:pPr>
      <w:r>
        <w:rPr/>
        <w:t xml:space="preserve">Cárcamo Pino, Mauricio Arnoldo (2025b). “Oralitura/literatura y manuaje/lenguaje: una revisión por reescritura”. </w:t>
      </w:r>
      <w:r>
        <w:rPr>
          <w:i/>
          <w:iCs/>
        </w:rPr>
        <w:t>Revista Chilena de Literatura</w:t>
      </w:r>
      <w:r>
        <w:rPr/>
        <w:t>, 112: 233-264.</w:t>
      </w:r>
    </w:p>
    <w:p>
      <w:pPr>
        <w:pStyle w:val="BodyText"/>
        <w:rPr/>
      </w:pPr>
      <w:r>
        <w:rPr/>
        <w:t xml:space="preserve">Choque Canqui, Roberto (1978 [1974]). “Prólogo”. En Josep M. Barnadas, </w:t>
      </w:r>
      <w:r>
        <w:rPr>
          <w:i/>
          <w:iCs/>
        </w:rPr>
        <w:t>Apuntes para una historia aymara</w:t>
      </w:r>
      <w:r>
        <w:rPr/>
        <w:t>. 2.ª ed. La Paz: CIPCA: s. p.</w:t>
      </w:r>
    </w:p>
    <w:p>
      <w:pPr>
        <w:pStyle w:val="BodyText"/>
        <w:rPr/>
      </w:pPr>
      <w:r>
        <w:rPr/>
        <w:t xml:space="preserve">Cornejo Polar, Antonio (2003 [1994]). </w:t>
      </w:r>
      <w:r>
        <w:rPr>
          <w:i/>
          <w:iCs/>
        </w:rPr>
        <w:t>Escribir en el aire. Ensayo sobre la heterogeneidad socio-cultural en las literaturas andinas</w:t>
      </w:r>
      <w:r>
        <w:rPr/>
        <w:t>. 2.ª ed. Lima y Berkeley: CELACP y Latinoamericana Editores.</w:t>
      </w:r>
    </w:p>
    <w:p>
      <w:pPr>
        <w:pStyle w:val="BodyText"/>
        <w:rPr/>
      </w:pPr>
      <w:r>
        <w:rPr/>
        <w:t xml:space="preserve">Dean, Carolyn (2010). </w:t>
      </w:r>
      <w:r>
        <w:rPr>
          <w:i/>
          <w:iCs/>
        </w:rPr>
        <w:t>A Culture of Stone: Inka Perspectives on Rock</w:t>
      </w:r>
      <w:r>
        <w:rPr/>
        <w:t>. Durham y Londres: Duke University Press.</w:t>
      </w:r>
    </w:p>
    <w:p>
      <w:pPr>
        <w:pStyle w:val="BodyText"/>
        <w:rPr/>
      </w:pPr>
      <w:r>
        <w:rPr/>
        <w:t xml:space="preserve">Duviols, Pierre (1979). “Un symbolisme de l’occupation, de l’aménagement et de l’exploitation de l’espace: le monolithe «huanca» et sa fonction dans les Andes préhispaniques”. </w:t>
      </w:r>
      <w:r>
        <w:rPr>
          <w:i/>
          <w:iCs/>
        </w:rPr>
        <w:t>L’Homme</w:t>
      </w:r>
      <w:r>
        <w:rPr/>
        <w:t>, 19(2): 7-31.</w:t>
      </w:r>
    </w:p>
    <w:p>
      <w:pPr>
        <w:pStyle w:val="BodyText"/>
        <w:rPr/>
      </w:pPr>
      <w:r>
        <w:rPr/>
        <w:t xml:space="preserve">Frampton, Kenneth (1995). </w:t>
      </w:r>
      <w:r>
        <w:rPr>
          <w:i/>
          <w:iCs/>
        </w:rPr>
        <w:t>Studies in Tectonic Culture: The Poetics of Construction in Nineteenth and Twentieth Century Architecture</w:t>
      </w:r>
      <w:r>
        <w:rPr/>
        <w:t>. Ed. John Cava. Cambridge, MA y Londres: MIT Press.</w:t>
      </w:r>
    </w:p>
    <w:p>
      <w:pPr>
        <w:pStyle w:val="BodyText"/>
        <w:rPr/>
      </w:pPr>
      <w:r>
        <w:rPr/>
        <w:t xml:space="preserve">Garrington, Abbie (2013). </w:t>
      </w:r>
      <w:r>
        <w:rPr>
          <w:i/>
          <w:iCs/>
        </w:rPr>
        <w:t>Haptic Modernism: Touch and the Tactile in Modernist Writing</w:t>
      </w:r>
      <w:r>
        <w:rPr/>
        <w:t>. Edimburgo: Edinburgh University Press.</w:t>
      </w:r>
    </w:p>
    <w:p>
      <w:pPr>
        <w:pStyle w:val="BodyText"/>
        <w:rPr/>
      </w:pPr>
      <w:r>
        <w:rPr/>
        <w:t xml:space="preserve">Hall, Edward T. (1973 [1966]). </w:t>
      </w:r>
      <w:r>
        <w:rPr>
          <w:i/>
          <w:iCs/>
        </w:rPr>
        <w:t>La dimensión oculta: enfoque antropológico del uso del espacio</w:t>
      </w:r>
      <w:r>
        <w:rPr/>
        <w:t>. Madrid: Instituto de Estudios de Administración Local.</w:t>
      </w:r>
    </w:p>
    <w:p>
      <w:pPr>
        <w:pStyle w:val="BodyText"/>
        <w:rPr/>
      </w:pPr>
      <w:r>
        <w:rPr/>
        <w:t xml:space="preserve">Ingold, Tim (2013). </w:t>
      </w:r>
      <w:r>
        <w:rPr>
          <w:i/>
          <w:iCs/>
        </w:rPr>
        <w:t>Making: Anthropology, Archaeology, Art and Architecture</w:t>
      </w:r>
      <w:r>
        <w:rPr/>
        <w:t>. Londres y Nueva York: Routledge.</w:t>
      </w:r>
    </w:p>
    <w:p>
      <w:pPr>
        <w:pStyle w:val="BodyText"/>
        <w:rPr/>
      </w:pPr>
      <w:r>
        <w:rPr/>
        <w:t>Le Guin, Ursula K. (2021 [1986]). “La teoría de la bolsa de transporte de la ficción”. Trad. Kamen Nedev y José Pérez de Lama. Biblioteca Anarquista. https://es.theanarchistlibrary.org</w:t>
      </w:r>
    </w:p>
    <w:p>
      <w:pPr>
        <w:pStyle w:val="BodyText"/>
        <w:rPr/>
      </w:pPr>
      <w:r>
        <w:rPr/>
        <w:t xml:space="preserve">Lundberg, Simon (2019). </w:t>
      </w:r>
      <w:r>
        <w:rPr>
          <w:i/>
          <w:iCs/>
        </w:rPr>
        <w:t>Architecture as Image</w:t>
      </w:r>
      <w:r>
        <w:rPr/>
        <w:t>. Proyecto de grado en Arquitectura, nivel avanzado. Estocolmo: KTH, TRITA-ABE-MBT-19132.</w:t>
      </w:r>
    </w:p>
    <w:p>
      <w:pPr>
        <w:pStyle w:val="BodyText"/>
        <w:rPr/>
      </w:pPr>
      <w:r>
        <w:rPr/>
        <w:t xml:space="preserve">Martin, Richard (2014). </w:t>
      </w:r>
      <w:r>
        <w:rPr>
          <w:i/>
          <w:iCs/>
        </w:rPr>
        <w:t>The Architecture of David Lynch</w:t>
      </w:r>
      <w:r>
        <w:rPr/>
        <w:t>. Londres y Nueva York: Bloomsbury Academic.</w:t>
      </w:r>
    </w:p>
    <w:p>
      <w:pPr>
        <w:pStyle w:val="BodyText"/>
        <w:rPr/>
      </w:pPr>
      <w:r>
        <w:rPr/>
        <w:t xml:space="preserve">Pallasmaa, Juhani (2014 [2011]). </w:t>
      </w:r>
      <w:r>
        <w:rPr>
          <w:i/>
          <w:iCs/>
        </w:rPr>
        <w:t>La imagen corpórea. Imaginación e imaginario en la arquitectura</w:t>
      </w:r>
      <w:r>
        <w:rPr/>
        <w:t>. Trad. Carles Muro. Barcelona: Gustavo Gili.</w:t>
      </w:r>
    </w:p>
    <w:p>
      <w:pPr>
        <w:pStyle w:val="BodyText"/>
        <w:rPr/>
      </w:pPr>
      <w:r>
        <w:rPr/>
        <w:t xml:space="preserve">Rivera Cusicanqui, Silvia (2010 [1984]). </w:t>
      </w:r>
      <w:r>
        <w:rPr>
          <w:i/>
          <w:iCs/>
        </w:rPr>
        <w:t>«Oprimidos pero no vencidos». Luchas del campesinado aymara y qhechwa 1900-1980</w:t>
      </w:r>
      <w:r>
        <w:rPr/>
        <w:t>. 4.ª ed. La Paz: WA-GUI.</w:t>
      </w:r>
    </w:p>
    <w:p>
      <w:pPr>
        <w:pStyle w:val="BodyText"/>
        <w:rPr/>
      </w:pPr>
      <w:r>
        <w:rPr/>
        <w:t xml:space="preserve">Scott, James C. (2020 [1998]). </w:t>
      </w:r>
      <w:r>
        <w:rPr>
          <w:i/>
          <w:iCs/>
        </w:rPr>
        <w:t>Seeing Like a State: How Certain Schemes to Improve the Human Condition Have Failed</w:t>
      </w:r>
      <w:r>
        <w:rPr/>
        <w:t>. New Haven y Londres: Yale University Press.</w:t>
      </w:r>
    </w:p>
    <w:p>
      <w:pPr>
        <w:pStyle w:val="BodyText"/>
        <w:rPr/>
      </w:pPr>
      <w:r>
        <w:rPr/>
        <w:t xml:space="preserve">Seguí de la Riva, Javier (2010). </w:t>
      </w:r>
      <w:r>
        <w:rPr>
          <w:i/>
          <w:iCs/>
        </w:rPr>
        <w:t>Ser dibujo</w:t>
      </w:r>
      <w:r>
        <w:rPr/>
        <w:t>. Madrid: Mairea Libros y Escuela Técnica Superior de Arquitectura de Madrid.</w:t>
      </w:r>
    </w:p>
    <w:p>
      <w:pPr>
        <w:pStyle w:val="BodyText"/>
        <w:rPr/>
      </w:pPr>
      <w:r>
        <w:rPr/>
        <w:t xml:space="preserve">Vázquez Ramos, Fernando Guillermo; Dias Ribeiro, Carlos Eduardo; Quedas Campoy, Carlos y Ferreira de Paula, Franklin Roberto (2023). “Reflexões sobre a construção histórica do conceito de espaço: uma aproximação”. </w:t>
      </w:r>
      <w:r>
        <w:rPr>
          <w:i/>
          <w:iCs/>
        </w:rPr>
        <w:t>Risco. Revista de Pesquisa em Arquitetura e Urbanismo</w:t>
      </w:r>
      <w:r>
        <w:rPr/>
        <w:t>, 21: 1-18. https://doi.org/10.11606/1984-4506.risco.2023.187844</w:t>
      </w:r>
    </w:p>
    <w:p>
      <w:pPr>
        <w:pStyle w:val="BodyText"/>
        <w:spacing w:lineRule="auto" w:line="360" w:before="0" w:after="120"/>
        <w:rPr/>
      </w:pPr>
      <w:r>
        <w:rPr/>
        <w:t xml:space="preserve">Zavaleta Mercado, René (1986). </w:t>
      </w:r>
      <w:r>
        <w:rPr>
          <w:i/>
          <w:iCs/>
        </w:rPr>
        <w:t>Lo nacional-popular en Bolivia</w:t>
      </w:r>
      <w:r>
        <w:rPr/>
        <w:t>. México: Siglo XXI.</w:t>
      </w:r>
      <w:bookmarkEnd w:id="0"/>
      <w:bookmarkEnd w:id="12"/>
    </w:p>
    <w:sectPr>
      <w:footnotePr>
        <w:numFmt w:val="decimal"/>
        <w:numRestart w:val="eachSect"/>
      </w:footnotePr>
      <w:type w:val="nextPage"/>
      <w:pgSz w:w="12240" w:h="15840"/>
      <w:pgMar w:left="1417" w:right="1417" w:gutter="0" w:header="0" w:top="1417" w:footer="0"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lineRule="auto" w:line="240" w:before="0" w:after="40"/>
        <w:rPr/>
      </w:pPr>
      <w:r>
        <w:rPr>
          <w:rStyle w:val="FootnoteCharacters"/>
        </w:rPr>
        <w:footnoteRef/>
      </w:r>
      <w:r>
        <w:rPr/>
        <w:t xml:space="preserve"> </w:t>
      </w:r>
      <w:r>
        <w:rPr/>
        <w:t>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3">
    <w:p>
      <w:pPr>
        <w:pStyle w:val="FootnoteText"/>
        <w:spacing w:lineRule="auto" w:line="240" w:before="0" w:after="40"/>
        <w:rPr/>
      </w:pPr>
      <w:r>
        <w:rPr>
          <w:rStyle w:val="FootnoteCharacters"/>
        </w:rPr>
        <w:footnoteRef/>
      </w:r>
      <w:r>
        <w:rPr/>
        <w:t xml:space="preserve"> </w:t>
      </w:r>
      <w:r>
        <w:rPr/>
        <w:t>Las traducciones de las citas en inglés, francés y portugués son nuestras.</w:t>
      </w:r>
    </w:p>
  </w:footnote>
  <w:footnote w:id="4">
    <w:p>
      <w:pPr>
        <w:pStyle w:val="FootnoteText"/>
        <w:spacing w:lineRule="auto" w:line="240" w:before="0" w:after="40"/>
        <w:rPr/>
      </w:pPr>
      <w:r>
        <w:rPr>
          <w:rStyle w:val="FootnoteCharacters"/>
        </w:rPr>
        <w:footnoteRef/>
      </w:r>
      <w:r>
        <w:rPr/>
        <w:t xml:space="preserve"> </w:t>
      </w:r>
      <w:r>
        <w:rPr/>
        <w:t>El pastel al óleo es pigmento unido con cera y aceite. A diferencia de la tinta, que fija la línea al secar, no llega a secar del todo: se puede empastar, arrastrar con el dedo, raspar con una punta hasta descubrir la capa de abajo (esgrafiado) o disolver con solvente. Por eso se trabaja sumando y quitando materia, como se modela un barro o se limpia un campo, más que trazando líneas.</w:t>
      </w:r>
    </w:p>
  </w:footnote>
</w:footnotes>
</file>

<file path=word/settings.xml><?xml version="1.0" encoding="utf-8"?>
<w:settings xmlns:w="http://schemas.openxmlformats.org/wordprocessingml/2006/main">
  <w:zoom w:percent="100"/>
  <w:embedSystemFonts/>
  <w:defaultTabStop w:val="720"/>
  <w:autoHyphenation w:val="true"/>
  <w:footnotePr>
    <w:numFmt w:val="decimal"/>
    <w:numRestart w:val="eachSect"/>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360" w:before="240" w:after="120"/>
      <w:outlineLvl w:val="0"/>
    </w:pPr>
    <w:rPr>
      <w:rFonts w:ascii="Times New Roman" w:hAnsi="Times New Roman" w:eastAsia="Times New Roman" w:cs="Times New Roman"/>
      <w:b/>
      <w:i w:val="false"/>
      <w:sz w:val="24"/>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360" w:before="240" w:after="120"/>
      <w:outlineLvl w:val="1"/>
    </w:pPr>
    <w:rPr>
      <w:rFonts w:ascii="Times New Roman" w:hAnsi="Times New Roman" w:eastAsia="Times New Roman" w:cs="Times New Roman"/>
      <w:b/>
      <w:i w:val="false"/>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360" w:before="240" w:after="120"/>
      <w:outlineLvl w:val="2"/>
    </w:pPr>
    <w:rPr>
      <w:rFonts w:ascii="Times New Roman" w:hAnsi="Times New Roman" w:eastAsia="Times New Roman" w:cs="Times New Roman"/>
      <w:b/>
      <w:i w:val="false"/>
      <w:sz w:val="24"/>
      <w:szCs w:val="28"/>
    </w:rPr>
  </w:style>
  <w:style w:type="paragraph" w:styleId="Heading4">
    <w:name w:val="Heading 4"/>
    <w:basedOn w:val="Normal"/>
    <w:next w:val="BodyText"/>
    <w:link w:val="Heading4Char"/>
    <w:uiPriority w:val="9"/>
    <w:semiHidden/>
    <w:unhideWhenUsed/>
    <w:qFormat/>
    <w:rsid w:val="00a10fd9"/>
    <w:pPr>
      <w:keepNext w:val="true"/>
      <w:keepLines/>
      <w:spacing w:lineRule="auto" w:line="360" w:before="240" w:after="120"/>
      <w:outlineLvl w:val="3"/>
    </w:pPr>
    <w:rPr>
      <w:rFonts w:ascii="Times New Roman" w:hAnsi="Times New Roman" w:eastAsia="Times New Roman" w:cs="Times New Roman"/>
      <w:b/>
      <w:i w:val="false"/>
      <w:iCs/>
      <w:sz w:val="24"/>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sz w:val="24"/>
    </w:rPr>
  </w:style>
  <w:style w:type="paragraph" w:styleId="List">
    <w:name w:val="List"/>
    <w:basedOn w:val="BodyText"/>
    <w:pPr/>
    <w:rPr>
      <w:rFonts w:cs="FreeSans"/>
    </w:rPr>
  </w:style>
  <w:style w:type="paragraph" w:styleId="Caption">
    <w:name w:val="Caption"/>
    <w:basedOn w:val="Normal"/>
    <w:link w:val="BodyTextChar"/>
    <w:qFormat/>
    <w:pPr>
      <w:spacing w:lineRule="auto" w:line="240" w:before="60" w:after="240"/>
    </w:pPr>
    <w:rPr>
      <w:rFonts w:ascii="Times New Roman" w:hAnsi="Times New Roman" w:eastAsia="Times New Roman" w:cs="Times New Roman"/>
      <w:i w:val="false"/>
      <w:sz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sz w:val="24"/>
    </w:rPr>
  </w:style>
  <w:style w:type="paragraph" w:styleId="Title">
    <w:name w:val="Title"/>
    <w:basedOn w:val="Normal"/>
    <w:next w:val="BodyText"/>
    <w:link w:val="TitleChar"/>
    <w:uiPriority w:val="10"/>
    <w:qFormat/>
    <w:rsid w:val="00a10fd9"/>
    <w:pPr>
      <w:spacing w:lineRule="auto" w:line="360" w:before="240" w:after="120"/>
      <w:contextualSpacing/>
      <w:jc w:val="center"/>
    </w:pPr>
    <w:rPr>
      <w:rFonts w:ascii="Times New Roman" w:hAnsi="Times New Roman" w:eastAsia="Times New Roman" w:cs="Times New Roman"/>
      <w:b/>
      <w:i w:val="false"/>
      <w:sz w:val="28"/>
      <w:szCs w:val="56"/>
    </w:rPr>
  </w:style>
  <w:style w:type="paragraph" w:styleId="Subtitle">
    <w:name w:val="Subtitle"/>
    <w:basedOn w:val="Title"/>
    <w:next w:val="BodyText"/>
    <w:link w:val="SubtitleChar"/>
    <w:uiPriority w:val="11"/>
    <w:qFormat/>
    <w:rsid w:val="00a10fd9"/>
    <w:pPr>
      <w:spacing w:lineRule="auto" w:line="360" w:before="240" w:after="120"/>
      <w:contextualSpacing/>
    </w:pPr>
    <w:rPr>
      <w:rFonts w:ascii="Times New Roman" w:hAnsi="Times New Roman" w:eastAsia="Times New Roman" w:cs="Times New Roman"/>
      <w:b/>
      <w:i w:val="false"/>
      <w:spacing w:val="15"/>
      <w:sz w:val="24"/>
      <w:szCs w:val="28"/>
    </w:rPr>
  </w:style>
  <w:style w:type="paragraph" w:styleId="Author" w:customStyle="1">
    <w:name w:val="Author"/>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Date">
    <w:name w:val="Date"/>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lineRule="auto" w:line="360" w:before="0" w:after="120"/>
    </w:pPr>
    <w:rPr>
      <w:rFonts w:ascii="Times New Roman" w:hAnsi="Times New Roman" w:eastAsia="Times New Roman" w:cs="Times New Roman"/>
      <w:sz w:val="24"/>
      <w:szCs w:val="20"/>
    </w:rPr>
  </w:style>
  <w:style w:type="paragraph" w:styleId="Bibliography">
    <w:name w:val="Bibliography"/>
    <w:basedOn w:val="Normal"/>
    <w:qFormat/>
    <w:pPr>
      <w:spacing w:lineRule="auto" w:line="360" w:before="0" w:after="120"/>
    </w:pPr>
    <w:rPr>
      <w:rFonts w:ascii="Times New Roman" w:hAnsi="Times New Roman" w:eastAsia="Times New Roman" w:cs="Times New Roman"/>
      <w:sz w:val="24"/>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sz w:val="24"/>
    </w:rPr>
  </w:style>
  <w:style w:type="paragraph" w:styleId="FootnoteText">
    <w:name w:val="Footnote Text"/>
    <w:basedOn w:val="Normal"/>
    <w:uiPriority w:val="9"/>
    <w:unhideWhenUsed/>
    <w:qFormat/>
    <w:pPr>
      <w:spacing w:lineRule="auto" w:line="240" w:before="0" w:after="40"/>
    </w:pPr>
    <w:rPr>
      <w:rFonts w:ascii="Times New Roman" w:hAnsi="Times New Roman" w:eastAsia="Times New Roman" w:cs="Times New Roman"/>
      <w:sz w:val="20"/>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lineRule="auto" w:line="360" w:before="0" w:after="120"/>
    </w:pPr>
    <w:rPr>
      <w:rFonts w:ascii="Times New Roman" w:hAnsi="Times New Roman" w:eastAsia="Times New Roman" w:cs="Times New Roman"/>
      <w:b/>
      <w:sz w:val="24"/>
    </w:rPr>
  </w:style>
  <w:style w:type="paragraph" w:styleId="Definition" w:customStyle="1">
    <w:name w:val="Definition"/>
    <w:basedOn w:val="Normal"/>
    <w:qFormat/>
    <w:pPr>
      <w:spacing w:lineRule="auto" w:line="360" w:before="0" w:after="120"/>
    </w:pPr>
    <w:rPr>
      <w:rFonts w:ascii="Times New Roman" w:hAnsi="Times New Roman" w:eastAsia="Times New Roman" w:cs="Times New Roman"/>
      <w:sz w:val="24"/>
    </w:rPr>
  </w:style>
  <w:style w:type="paragraph" w:styleId="TableCaption" w:customStyle="1">
    <w:name w:val="Table Caption"/>
    <w:basedOn w:val="Caption"/>
    <w:qFormat/>
    <w:pPr>
      <w:keepNext w:val="true"/>
      <w:spacing w:lineRule="auto" w:line="240" w:before="60" w:after="240"/>
    </w:pPr>
    <w:rPr>
      <w:rFonts w:ascii="Times New Roman" w:hAnsi="Times New Roman" w:eastAsia="Times New Roman" w:cs="Times New Roman"/>
      <w:i w:val="false"/>
      <w:sz w:val="20"/>
    </w:rPr>
  </w:style>
  <w:style w:type="paragraph" w:styleId="ImageCaption" w:customStyle="1">
    <w:name w:val="Image Caption"/>
    <w:basedOn w:val="Caption"/>
    <w:qFormat/>
    <w:pPr>
      <w:spacing w:lineRule="auto" w:line="240" w:before="60" w:after="240"/>
      <w:jc w:val="center"/>
    </w:pPr>
    <w:rPr>
      <w:rFonts w:ascii="Times New Roman" w:hAnsi="Times New Roman" w:eastAsia="Times New Roman" w:cs="Times New Roman"/>
      <w:i w:val="false"/>
      <w:sz w:val="20"/>
    </w:rPr>
  </w:style>
  <w:style w:type="paragraph" w:styleId="Figure" w:customStyle="1">
    <w:name w:val="Figure"/>
    <w:basedOn w:val="Normal"/>
    <w:qFormat/>
    <w:pPr>
      <w:spacing w:lineRule="auto" w:line="360" w:before="0" w:after="120"/>
      <w:jc w:val="center"/>
    </w:pPr>
    <w:rPr>
      <w:rFonts w:ascii="Times New Roman" w:hAnsi="Times New Roman" w:eastAsia="Times New Roman" w:cs="Times New Roman"/>
      <w:sz w:val="24"/>
    </w:rPr>
  </w:style>
  <w:style w:type="paragraph" w:styleId="CaptionedFigure" w:customStyle="1">
    <w:name w:val="Captioned Figure"/>
    <w:basedOn w:val="Figure"/>
    <w:qFormat/>
    <w:pPr>
      <w:keepNext w:val="true"/>
      <w:spacing w:lineRule="auto" w:line="360" w:before="0" w:after="120"/>
      <w:jc w:val="center"/>
    </w:pPr>
    <w:rPr>
      <w:rFonts w:ascii="Times New Roman" w:hAnsi="Times New Roman" w:eastAsia="Times New Roman" w:cs="Times New Roman"/>
      <w:sz w:val="24"/>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Figura" w:customStyle="1">
    <w:name w:val="Figura"/>
    <w:basedOn w:val="Normal"/>
    <w:qFormat/>
    <w:pPr>
      <w:keepNext w:val="true"/>
      <w:spacing w:lineRule="auto" w:line="240" w:before="240" w:after="60"/>
      <w:jc w:val="center"/>
    </w:pPr>
    <w:rPr>
      <w:rFonts w:ascii="Times New Roman" w:hAnsi="Times New Roman" w:eastAsia="Times New Roman" w:cs="Times New Roman"/>
      <w:i w:val="false"/>
      <w:sz w:val="24"/>
    </w:rPr>
  </w:style>
  <w:style w:type="paragraph" w:styleId="Piedefigura" w:customStyle="1">
    <w:name w:val="Pie de figura"/>
    <w:basedOn w:val="Normal"/>
    <w:qFormat/>
    <w:pPr>
      <w:keepNext w:val="false"/>
      <w:spacing w:lineRule="auto" w:line="240" w:before="60" w:after="240"/>
      <w:jc w:val="center"/>
    </w:pPr>
    <w:rPr>
      <w:rFonts w:ascii="Times New Roman" w:hAnsi="Times New Roman" w:eastAsia="Times New Roman" w:cs="Times New Roman"/>
      <w:i w:val="false"/>
      <w:sz w:val="20"/>
    </w:rPr>
  </w:style>
  <w:style w:type="paragraph" w:styleId="Epgrafe" w:customStyle="1">
    <w:name w:val="Epígrafe"/>
    <w:basedOn w:val="Normal"/>
    <w:qFormat/>
    <w:pPr>
      <w:spacing w:lineRule="auto" w:line="240" w:before="0" w:after="120"/>
      <w:ind w:left="3969"/>
    </w:pPr>
    <w:rPr>
      <w:rFonts w:ascii="Times New Roman" w:hAnsi="Times New Roman" w:eastAsia="Times New Roman" w:cs="Times New Roman"/>
      <w:i w:val="false"/>
      <w:sz w:val="22"/>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pPr>
      <w:spacing w:before="0" w:after="120" w:line="360" w:lineRule="auto"/>
    </w:pPr>
    <w:rPr>
      <w:sz w:val="24"/>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notes" Target="footnotes.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2026-09-28T16:12:15Z</dcterms:created>
  <dc:creator/>
  <dc:description/>
  <dc:language>en-US</dc:language>
  <cp:lastModifiedBy/>
  <dcterms:modified xsi:type="dcterms:W3CDTF">2026-09-28T16:12:25Z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