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25</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29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Ética, fuentes y pendientes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Consentimiento y créditos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Lo que no está en el repositorio</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Asistencia de inteligencia artificial</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Lo que el proyecto no afirma</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11.5. Pendientes</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32</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pPr>
        <w:pStyle w:val="Heading2"/>
        <w:keepNext/>
      </w:pPr>
      <w:r>
        <w:t xml:space="preserve">1.5. Cómo leer los mapas</w:t>
      </w:r>
    </w:p>
    <w:p>
      <w:r>
        <w:rPr>
          <w:rFonts w:ascii="Newsreader" w:cs="Newsreader" w:eastAsia="Newsreader" w:hAnsi="Newsreader"/>
        </w:rPr>
        <w:t xml:space="preserve">Los mapas se dibujan a mano, aunque sea con código. Toman su modo de dibujar de tres clases de referencias: notaciones hechas a mano, con acuarela, órbitas, ejes y haces de líneas anotados; una sala en perspectiva con un embudo y bandadas de signos; y un cuaderno de pictogramas entre dos palabras.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toda órbita se abre en su punto más bajo</w:t>
      </w:r>
      <w:r>
        <w:rPr>
          <w:rFonts w:ascii="Newsreader" w:cs="Newsreader" w:eastAsia="Newsreader" w:hAnsi="Newsreader"/>
        </w:rPr>
        <w:t xml:space="preserve">, como toda cuenca en su desagüe. Cada etapa, cada fuente y cada vasija gira en la suya;</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w:t>
      </w:r>
      <w:r>
        <w:rPr>
          <w:rFonts w:ascii="Newsreader" w:cs="Newsreader" w:eastAsia="Newsreader" w:hAnsi="Newsreader"/>
        </w:rPr>
        <w:t xml:space="preserve"> (el pie, el poema, los datos); </w:t>
      </w:r>
      <w:r>
        <w:rPr>
          <w:rFonts w:ascii="Newsreader Medium" w:cs="Newsreader Medium" w:eastAsia="Newsreader Medium" w:hAnsi="Newsreader Medium"/>
        </w:rPr>
        <w:t xml:space="preserve">a mano, lo que se hace con eso</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No hay marcos, ni cajas, ni tablas. Cada mapa lleva su leyenda a mano, en una esquina, y su firma.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Un eje baja por las cuatro líneas de la letra (afuera, borde, fondo y desagüe). Las cinco etapas giran sobre él, cada una en su órbita abierta abajo: la piscina vacía, el pie con su calco, la placa y la caja, la frotada y el charco, y lo digital, todavía punteado. De los márgenes llegan las fuentes; la vuelta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086475"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6475"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en su órbita: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canal (Posnansky), la ¿ y la ? que no son espejo (Agüero, Uribe y Berenguer), una placa en su charco (la obra), un lápiz (el manuaje de Cárcamo) y los anillos de un tronco (Johnson). Lo que se toma llega en haces a la o, que se abre abajo; lo que no se toma sale hacia afuera y se corta.</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de aguada que pierde materia de arriba abajo: grafito (la piedra, la foto, el dibujo), plata (el aluminio), violeta (el cuerpo, el video) y lila (el agua). De cada eslabón sale una hebra hacia la decisión que nace allí; en gris, lo que hizo la obra; en tinta, lo que hace la letra.</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Arriba, el pie a máquina y sus medidas a mano. En el medio, las cuatro vasijas (o, l, n, a), cada una en sus órbitas, con sus parámetros escritos sobre ellas; desde los márgenes, la obra empuja la forma. Abajo, los signos bajan en bandadas, como peces, hasta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La piscina vacía es la sala. Un embudo baja del pie al charco, sobre el desagüe, pasando por la placa, que es la matriz de todo lo que sigue: calco, placa, cinta, frotado (22 frotadas frente a 10), agua y voz. La vuelta punteada es lo digital: el esténcil vuelve a ser placa. Del borde cuelgan las frotadas legibles de cada celda en la simulación.</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Un cuaderno entre tres verbos: el poema entero, a máquina, adentro del agua; en violeta, los versos que operan. Alrededor, un dibujo por figura, en el orden de sus versos, con lo que cada una hace en la letra.</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Ética, fuentes y pendientes</w:t>
      </w:r>
    </w:p>
    <w:p>
      <w:pPr>
        <w:pStyle w:val="Heading2"/>
        <w:keepNext/>
      </w:pPr>
      <w:r>
        <w:t xml:space="preserve">11.1.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11.2.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11.3. Asistencia de inteligencia artificial</w:t>
      </w:r>
    </w:p>
    <w:p>
      <w:r>
        <w:rPr>
          <w:rFonts w:ascii="Newsreader" w:cs="Newsreader" w:eastAsia="Newsreader" w:hAnsi="Newsreader"/>
        </w:rPr>
        <w:t xml:space="preserve">Los textos, los esquemas, la simulación, las láminas, la aplicación y este informe se hicieron con asistencia de inteligencia artificial. Las formas de letra que genera la simulación son la propuesta de la máquina: están hechas para confrontarlas con las de la mano y no entran en la caja ni en la fuente.</w:t>
      </w:r>
    </w:p>
    <w:p>
      <w:pPr>
        <w:pStyle w:val="Heading2"/>
        <w:keepNext/>
      </w:pPr>
      <w:r>
        <w:t xml:space="preserve">11.4.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11.5.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regenerar la pauta de calco con la celda en lugar del azulejo.</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y el frotado: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Pasar la especificación de la fuente digital (</w:t>
      </w:r>
      <w:r>
        <w:rPr>
          <w:rFonts w:ascii="Courier Prime" w:cs="Courier Prime" w:eastAsia="Courier Prime" w:hAnsi="Courier Prime"/>
          <w:sz w:val="18"/>
          <w:szCs w:val="18"/>
        </w:rPr>
        <w:t xml:space="preserve">05</w:t>
      </w:r>
      <w:r>
        <w:rPr>
          <w:rFonts w:ascii="Newsreader" w:cs="Newsreader" w:eastAsia="Newsreader" w:hAnsi="Newsreader"/>
        </w:rPr>
        <w:t xml:space="preserve">, §5.3) de la tesela a la celda, y revisar en el colofón los estados en pausa (vestida, copiada).</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09</w:t>
      </w:r>
      <w:r>
        <w:rPr>
          <w:rFonts w:ascii="Newsreader" w:cs="Newsreader" w:eastAsia="Newsreader" w:hAnsi="Newsreader"/>
        </w:rPr>
        <w:t xml:space="preserve"> (la obra, las tesis, el sistema, la gramática, el taller, la migración, la ética, Posnansky, los nombres y las manos),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y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5E93F143-FB18-C993-3881-B3BFBE909934}"/>
  </w:font>
  <w:font w:name="Newsreader Italic">
    <w:family w:val="auto"/>
    <w:pitch w:val="variable"/>
    <w:sig w:usb0="E0002AFF" w:usb1="C000247B" w:usb2="00000009" w:usb3="00000000" w:csb0="000001FF" w:csb1="00000000"/>
    <w:embedRegular r:id="rId2" w:fontKey="{5C24F99D-6775-618C-C0C7-A85F5ECC75A1}"/>
  </w:font>
  <w:font w:name="Newsreader Light">
    <w:family w:val="auto"/>
    <w:pitch w:val="variable"/>
    <w:sig w:usb0="E0002AFF" w:usb1="C000247B" w:usb2="00000009" w:usb3="00000000" w:csb0="000001FF" w:csb1="00000000"/>
    <w:embedRegular r:id="rId3" w:fontKey="{9E1B8897-E3C2-5F59-4705-2BA78F0AEBFE}"/>
  </w:font>
  <w:font w:name="Newsreader Light Italic">
    <w:family w:val="auto"/>
    <w:pitch w:val="variable"/>
    <w:sig w:usb0="E0002AFF" w:usb1="C000247B" w:usb2="00000009" w:usb3="00000000" w:csb0="000001FF" w:csb1="00000000"/>
    <w:embedRegular r:id="rId4" w:fontKey="{D2B13489-FA43-7F84-4EC5-5BD258B3B16B}"/>
  </w:font>
  <w:font w:name="Newsreader Medium">
    <w:family w:val="auto"/>
    <w:pitch w:val="variable"/>
    <w:sig w:usb0="E0002AFF" w:usb1="C000247B" w:usb2="00000009" w:usb3="00000000" w:csb0="000001FF" w:csb1="00000000"/>
    <w:embedRegular r:id="rId5" w:fontKey="{10C12BAE-0BE7-41C2-4078-918A1A635EFD}"/>
  </w:font>
  <w:font w:name="Courier Prime">
    <w:family w:val="auto"/>
    <w:pitch w:val="variable"/>
    <w:sig w:usb0="E0002AFF" w:usb1="C000247B" w:usb2="00000009" w:usb3="00000000" w:csb0="000001FF" w:csb1="00000000"/>
    <w:embedRegular r:id="rId6" w:fontKey="{FBF47D26-F8CE-726E-8160-5AFCCC28C7E3}"/>
  </w:font>
  <w:font w:name="Courier Prime Bold">
    <w:family w:val="auto"/>
    <w:pitch w:val="variable"/>
    <w:sig w:usb0="E0002AFF" w:usb1="C000247B" w:usb2="00000009" w:usb3="00000000" w:csb0="000001FF" w:csb1="00000000"/>
    <w:embedRegular r:id="rId7" w:fontKey="{C6CE668C-474A-8476-8D80-B48E7BC79DD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670fbda425ae34d16083faf088c1b284c8787462.png"/><Relationship Id="rId14" Type="http://schemas.openxmlformats.org/officeDocument/2006/relationships/image" Target="media/ea44ea051446757a964a4e2b696d232a8af05f68.png"/><Relationship Id="rId15" Type="http://schemas.openxmlformats.org/officeDocument/2006/relationships/image" Target="media/084de131797fd51d5e7ad7657d84395f207235a9.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077deaf3c29004ed24934a81315bba1ca5794f7c.png"/><Relationship Id="rId19" Type="http://schemas.openxmlformats.org/officeDocument/2006/relationships/image" Target="media/308a9ebf2f92a207bd4b131be2b45e78d4fe3c59.jpg"/><Relationship Id="rId20" Type="http://schemas.openxmlformats.org/officeDocument/2006/relationships/image" Target="media/3a54384e7fbd88062c4b35aef16ee0cb512db163.png"/><Relationship Id="rId21" Type="http://schemas.openxmlformats.org/officeDocument/2006/relationships/image" Target="media/04c416e5f7f6f5031d53fbe357b111799e57279c.png"/><Relationship Id="rId22" Type="http://schemas.openxmlformats.org/officeDocument/2006/relationships/image" Target="media/98180b61681a29e64d4e1665eafea0364345915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2026-10-01T17:37:39.117Z</dcterms:created>
  <dcterms:modified xsi:type="dcterms:W3CDTF">2026-10-01T17:37:39.118Z</dcterms:modified>
</cp:coreProperties>
</file>

<file path=docProps/custom.xml><?xml version="1.0" encoding="utf-8"?>
<Properties xmlns="http://schemas.openxmlformats.org/officeDocument/2006/custom-properties" xmlns:vt="http://schemas.openxmlformats.org/officeDocument/2006/docPropsVTypes"/>
</file>