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b77f2b31b346d0baf66ecb196d493a47741f34c"/>
    <w:p>
      <w:pPr>
        <w:pStyle w:val="Heading1"/>
      </w:pPr>
      <w:r>
        <w:t xml:space="preserve">La cosecha de piedras: dibujar el habitar en</w:t>
      </w:r>
      <w:r>
        <w:t xml:space="preserve"> </w:t>
      </w:r>
      <w:r>
        <w:rPr>
          <w:i/>
          <w:iCs/>
        </w:rPr>
        <w:t xml:space="preserve">Altiplano</w:t>
      </w:r>
      <w:r>
        <w:t xml:space="preserve"> </w:t>
      </w:r>
      <w:r>
        <w:t xml:space="preserve">de Botelho Gosálvez</w:t>
      </w:r>
    </w:p>
    <w:p>
      <w:pPr>
        <w:pStyle w:val="FirstParagraph"/>
      </w:pPr>
      <w:r>
        <w:rPr>
          <w:b/>
          <w:bCs/>
        </w:rPr>
        <w:t xml:space="preserve">The Harvest of Stones: Drawing Dwelling in Botelho Gosálvez’s</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Hay tres razones para hacerlo así. Primero, las narraciones también están en los paisajes: «se acumulan como capas de historia, organizan secuencias y residen en los materiales y procesos del paisaje» (Potteiger y Purinton, 1998: 5). En</w:t>
      </w:r>
      <w:r>
        <w:t xml:space="preserve"> </w:t>
      </w:r>
      <w:r>
        <w:rPr>
          <w:i/>
          <w:iCs/>
        </w:rPr>
        <w:t xml:space="preserve">Altiplano</w:t>
      </w:r>
      <w:r>
        <w:t xml:space="preserve">, esos materiales son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Como la escala del espacio puede volverse «el alcance de una epopeya o los límites de un drama personal» (Potteiger y Purinton, 1998: 6),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w:t>
      </w:r>
      <w:r>
        <w:t xml:space="preserve"> </w:t>
      </w:r>
      <w:r>
        <w:rPr>
          <w:i/>
          <w:iCs/>
        </w:rPr>
        <w:t xml:space="preserve">Altiplano</w:t>
      </w:r>
      <w:r>
        <w:t xml:space="preserve"> </w:t>
      </w:r>
      <w:r>
        <w:t xml:space="preserve">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junta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 Los dos primeros pasos se hacen sobre el texto; los dos últimos, en el pastel.</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Con la cosecha, los derrotados «olvidaron la pesadilla pasada», y la Pachamama recuperó «su prestigio de hembra paridora y múltiple» (ibid.: 159). La paz se paga con ese olvido.</w:t>
      </w:r>
    </w:p>
    <w:p>
      <w:pPr>
        <w:pStyle w:val="BodyText"/>
      </w:pPr>
      <w:r>
        <w:t xml:space="preserve">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pesebre fue tumba, y el ayllu reparado deja fuera a los sin tierra.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Potteiger, Matthew y Purinton, Jamie (1998).</w:t>
      </w:r>
      <w:r>
        <w:t xml:space="preserve"> </w:t>
      </w:r>
      <w:r>
        <w:rPr>
          <w:i/>
          <w:iCs/>
        </w:rPr>
        <w:t xml:space="preserve">Landscape Narratives: Design Practices for Telling Stories</w:t>
      </w:r>
      <w:r>
        <w:t xml:space="preserve">. Nueva York: John Wiley &amp; Sons.</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2026-09-27T03:35:40Z</dcterms:created>
  <dcterms:modified xsi:type="dcterms:W3CDTF">2026-09-27T03:35:40Z</dcterms:modified>
</cp:coreProperties>
</file>

<file path=docProps/custom.xml><?xml version="1.0" encoding="utf-8"?>
<Properties xmlns="http://schemas.openxmlformats.org/officeDocument/2006/custom-properties" xmlns:vt="http://schemas.openxmlformats.org/officeDocument/2006/docPropsVTypes"/>
</file>