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lineRule="auto" w:line="360" w:before="240" w:after="120"/>
        <w:rPr/>
      </w:pPr>
      <w:bookmarkStart w:id="0" w:name="X283b9038d5fc7da7cd10d4024bb014ac454e9d4"/>
      <w:r>
        <w:rPr/>
        <w:t xml:space="preserve">Cosecha de piedras: el ayllu, el Estado y la mina. Dibujando </w:t>
      </w:r>
      <w:r>
        <w:rPr>
          <w:i/>
          <w:iCs/>
        </w:rPr>
        <w:t>Altiplano</w:t>
      </w:r>
      <w:r>
        <w:rPr/>
        <w:t xml:space="preserve"> de Raúl Botelho Gosálvez</w:t>
      </w:r>
    </w:p>
    <w:p>
      <w:pPr>
        <w:pStyle w:val="FirstParagraph"/>
        <w:rPr/>
      </w:pPr>
      <w:r>
        <w:rPr>
          <w:b/>
          <w:bCs/>
        </w:rPr>
        <w:t xml:space="preserve">Harvest of Stones: The Ayllu, the State and the Mine. Drawing Raúl Botelho Gosálvez’s </w:t>
      </w:r>
      <w:r>
        <w:rPr>
          <w:b/>
          <w:bCs/>
          <w:i/>
          <w:iCs/>
        </w:rPr>
        <w:t>Altiplano</w:t>
      </w:r>
    </w:p>
    <w:p>
      <w:pPr>
        <w:pStyle w:val="BodyText"/>
        <w:rPr/>
      </w:pPr>
      <w:r>
        <w:rPr/>
        <w:t>Joaquin Max Cuevas Ventura</w:t>
      </w:r>
      <w:r>
        <w:rPr>
          <w:rStyle w:val="FootnoteReference"/>
        </w:rPr>
        <w:footnoteReference w:id="2"/>
      </w:r>
    </w:p>
    <w:p>
      <w:pPr>
        <w:pStyle w:val="BodyText"/>
        <w:rPr/>
      </w:pPr>
      <w:r>
        <w:rPr>
          <w:b/>
          <w:bCs/>
        </w:rPr>
        <w:t>Resumen</w:t>
      </w:r>
    </w:p>
    <w:p>
      <w:pPr>
        <w:pStyle w:val="BodyText"/>
        <w:rPr/>
      </w:pPr>
      <w:r>
        <w:rPr/>
        <w:t xml:space="preserve">El artículo lee </w:t>
      </w:r>
      <w:r>
        <w:rPr>
          <w:i/>
          <w:iCs/>
        </w:rPr>
        <w:t>Altiplano</w:t>
      </w:r>
      <w:r>
        <w:rPr/>
        <w:t xml:space="preserve"> (1945),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rPr/>
      </w:pPr>
      <w:r>
        <w:rPr>
          <w:b/>
          <w:bCs/>
        </w:rPr>
        <w:t>Palabras clave:</w:t>
      </w:r>
      <w:r>
        <w:rPr/>
        <w:t xml:space="preserve"> Botelho Gosálvez; ayllu; despojo; manuaje; dibujo como investigación.</w:t>
      </w:r>
    </w:p>
    <w:p>
      <w:pPr>
        <w:pStyle w:val="BodyText"/>
        <w:rPr/>
      </w:pPr>
      <w:r>
        <w:rPr>
          <w:b/>
          <w:bCs/>
        </w:rPr>
        <w:t>Abstract</w:t>
      </w:r>
    </w:p>
    <w:p>
      <w:pPr>
        <w:pStyle w:val="BodyText"/>
        <w:rPr/>
      </w:pPr>
      <w:r>
        <w:rPr/>
        <w:t xml:space="preserve">This article reads </w:t>
      </w:r>
      <w:r>
        <w:rPr>
          <w:i/>
          <w:iCs/>
        </w:rPr>
        <w:t>Altiplano</w:t>
      </w:r>
      <w:r>
        <w:rPr/>
        <w:t xml:space="preserve"> (1945),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rPr/>
      </w:pPr>
      <w:r>
        <w:rPr>
          <w:b/>
          <w:bCs/>
        </w:rPr>
        <w:t>Keywords:</w:t>
      </w:r>
      <w:r>
        <w:rPr/>
        <w:t xml:space="preserve"> Botelho Gosálvez; ayllu; dispossession; manuage; drawing as research.</w:t>
      </w:r>
    </w:p>
    <w:p>
      <w:pPr>
        <w:pStyle w:val="Epgrafe"/>
        <w:rPr/>
      </w:pPr>
      <w:r>
        <w:rPr/>
        <w:t>«Mirando al pasado para caminar por el presente y el futuro (</w:t>
      </w:r>
      <w:r>
        <w:rPr>
          <w:i/>
          <w:iCs/>
        </w:rPr>
        <w:t>qhip nayr uñtasis sarnaqapxañani</w:t>
      </w:r>
      <w:r>
        <w:rPr/>
        <w:t>)».</w:t>
      </w:r>
    </w:p>
    <w:p>
      <w:pPr>
        <w:pStyle w:val="Epgrafe"/>
        <w:rPr/>
      </w:pPr>
      <w:r>
        <w:rPr/>
        <w:t>Lema del Taller de Historia Oral Andina (Rivera Cusicanqui, 2010 [1984]: 17)</w:t>
      </w:r>
    </w:p>
    <w:p>
      <w:pPr>
        <w:pStyle w:val="Heading2"/>
        <w:rPr/>
      </w:pPr>
      <w:bookmarkStart w:id="1" w:name="introducción-una-cosecha-de-piedras"/>
      <w:r>
        <w:rPr/>
        <w:t>1. Introducción: una cosecha de piedras</w:t>
      </w:r>
    </w:p>
    <w:p>
      <w:pPr>
        <w:pStyle w:val="FirstParagraph"/>
        <w:rPr/>
      </w:pPr>
      <w:r>
        <w:rPr/>
        <w:t>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rPr/>
      </w:pPr>
      <w:r>
        <w:rPr/>
        <w:t>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rPr/>
      </w:pPr>
      <w:r>
        <w:rPr/>
        <w:t xml:space="preserve">La escena encierra una paradoja: lo que se cosecha es el obstáculo, y la tierra </w:t>
      </w:r>
      <w:r>
        <w:rPr>
          <w:i/>
          <w:iCs/>
        </w:rPr>
        <w:t>pare</w:t>
      </w:r>
      <w:r>
        <w:rPr/>
        <w:t xml:space="preserv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 </w:t>
      </w:r>
      <w:r>
        <w:rPr>
          <w:i/>
          <w:iCs/>
        </w:rPr>
        <w:t>Altiplano</w:t>
      </w:r>
      <w:r>
        <w:rPr/>
        <w:t>, aquella en la que habitar y enterrar casi no se distinguen. Como observa Tim Ingold, el montón «no se construye: crece» (Ingold, 2013: 78)</w:t>
      </w:r>
      <w:r>
        <w:rPr>
          <w:rStyle w:val="FootnoteReference"/>
        </w:rPr>
        <w:footnoteReference w:id="3"/>
      </w:r>
      <w:r>
        <w:rPr/>
        <w:t>; en Jatun-Kolla, crece con cada cosecha.</w:t>
      </w:r>
    </w:p>
    <w:p>
      <w:pPr>
        <w:pStyle w:val="BodyText"/>
        <w:rPr/>
      </w:pPr>
      <w:r>
        <w:rPr/>
        <w:t xml:space="preserve">El aymara colonial tenía palabras para todo esto. El vocabulario que el jesuita Ludovico Bertonio publicó en 1612 registra un verbo para la faena, </w:t>
      </w:r>
      <w:r>
        <w:rPr>
          <w:i/>
          <w:iCs/>
        </w:rPr>
        <w:t>wanqathapiña</w:t>
      </w:r>
      <w:r>
        <w:rPr/>
        <w:t xml:space="preserve">, «amontonar piedras sacándolas» (Bertonio, 2011 [1612]: 77), y un solo nombre, </w:t>
      </w:r>
      <w:r>
        <w:rPr>
          <w:i/>
          <w:iCs/>
        </w:rPr>
        <w:t>chhaxwa</w:t>
      </w:r>
      <w:r>
        <w:rP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158). Kenneth Frampton distingue la masa formada por «apilamiento repetitivo de elementos pesados», «ya sea piedra o adobe», del armazón que ensambla «componentes ligeros y lineales» (Frampton, 1995: 5): la estereotomía y la tectónica. El montón es masa sin edificio, y </w:t>
      </w:r>
      <w:r>
        <w:rPr>
          <w:i/>
          <w:iCs/>
        </w:rPr>
        <w:t>chhaxwa</w:t>
      </w:r>
      <w:r>
        <w:rPr/>
        <w:t xml:space="preserve"> nombra el punto exacto donde la masa y el armazón se tocan. Esa tensión entre la piedra que pesa y la madera que ata recorre la novela, de la chujlla a la mina.</w:t>
      </w:r>
    </w:p>
    <w:p>
      <w:pPr>
        <w:pStyle w:val="BodyText"/>
        <w:rPr/>
      </w:pPr>
      <w:r>
        <w:rPr/>
        <w:t xml:space="preserve">Este artículo hace dos preguntas. ¿Qué sabe </w:t>
      </w:r>
      <w:r>
        <w:rPr>
          <w:i/>
          <w:iCs/>
        </w:rPr>
        <w:t>Altiplano</w:t>
      </w:r>
      <w:r>
        <w:rPr/>
        <w:t xml:space="preserve"> sobre el habitar cuando se la lee siguiendo sus piedras? ¿Y qué añade a esa lectura un dibujo hecho con una materia, el pastel al óleo, que trabaja como el comunario, sumando y quitando?</w:t>
      </w:r>
      <w:r>
        <w:rPr>
          <w:rStyle w:val="FootnoteReference"/>
        </w:rPr>
        <w:footnoteReference w:id="4"/>
      </w:r>
      <w:r>
        <w:rPr/>
        <w:t xml:space="preserve"> Nuestra respuesta es que la novela registra, a espaldas de su narrador, la mecánica material del despojo: cómo se pierde la tierra, con qué objetos y con qué gestos. Leer así se parece al esgrafiado: se raspa la capa del narrador para que aparezca la de abajo. </w:t>
      </w:r>
      <w:ins w:id="0" w:author="Unknown Author" w:date="2026-10-10T17:23:57Z">
        <w:r>
          <w:rPr/>
          <w:t xml:space="preserve">Fernando Freitas Fuão, arquitecto que ha pensado la collage, cita al poeta checo Jiří Kolář: «En la vida nos cubrimos con una acumulación de papeles invisibles, donde cada capa nos hace olvidar la anterior» (Fuão, 2011: 43). </w:t>
        </w:r>
      </w:ins>
      <w:r>
        <w:rPr/>
        <w:t>El argumento cabe en tres materiales. El ayllu marca su tierra con piedras: despeja, amontona, cerca y amojona. En la aldea, el Estado la reescribe con papeles: títulos, expedientes, ordenanzas. La mina convierte el mismo gesto en mercancía con máquinas. Como en el juego de piedra, papel o tijera, el papel le gana a la piedra por regla, no por peso: ante la ley, un mojón no vale lo que un título</w:t>
      </w:r>
      <w:ins w:id="1" w:author="Unknown Author" w:date="2026-10-10T17:23:57Z">
        <w:r>
          <w:rPr/>
          <w:t>. Fuão cuenta esa sucesión como una historia de los fragmentos: para los románticos, los fragmentos «estaban hechos básicamente de piedra» y miraban al pasado, a las ruinas; para los modernos son los del cotidiano: los «engranajes», las «reproducciones mecánicas», los «papeles» (ibid.: 14). En Jatun-Kolla, en cambio, la piedra no es ruina, sino posesión presente</w:t>
        </w:r>
      </w:ins>
      <w:r>
        <w:rPr/>
        <w:t>. El dibujo, al repetir las operaciones de la novela con otra materia, obliga a decidir lo que el texto deja abierto y deja ver lo que el narrador impone.</w:t>
      </w:r>
    </w:p>
    <w:p>
      <w:pPr>
        <w:pStyle w:val="BodyText"/>
        <w:rPr/>
      </w:pPr>
      <w:r>
        <w:rP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 </w:t>
      </w:r>
      <w:r>
        <w:rPr>
          <w:i/>
          <w:iCs/>
        </w:rPr>
        <w:t>Altiplano</w:t>
      </w:r>
      <w:r>
        <w:rPr/>
        <w:t xml:space="preserve"> 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rPr/>
      </w:pPr>
      <w:r>
        <w:rPr/>
        <w:t xml:space="preserve">La lectura parte de tres premisas. En </w:t>
      </w:r>
      <w:r>
        <w:rPr>
          <w:i/>
          <w:iCs/>
        </w:rPr>
        <w:t>Altiplano</w:t>
      </w:r>
      <w:r>
        <w:rPr/>
        <w:t xml:space="preserve">, el saber sobre el espacio es material: piedra, adobe, paja y papel. El dibujo, que obliga a decidir punto de vista, escala y límite, deja a la vista las categorías que el lector proyecta. Y si dibujar es, como propone Mauricio Cárcamo Pino, un </w:t>
      </w:r>
      <w:r>
        <w:rPr>
          <w:i/>
          <w:iCs/>
        </w:rPr>
        <w:t>manuaje</w:t>
      </w:r>
      <w:r>
        <w:rPr/>
        <w:t>,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bookmarkEnd w:id="1"/>
    </w:p>
    <w:p>
      <w:pPr>
        <w:pStyle w:val="Heading2"/>
        <w:rPr/>
      </w:pPr>
      <w:bookmarkStart w:id="2" w:name="X92427c7b6fba06e7fef4b61070b9c7628a70d2e"/>
      <w:r>
        <w:rPr/>
        <w:t>2. Cómo leer: el espacio, las manos y el dibujo (marco teórico y método)</w:t>
      </w:r>
    </w:p>
    <w:p>
      <w:pPr>
        <w:pStyle w:val="FirstParagraph"/>
        <w:rPr/>
      </w:pPr>
      <w:r>
        <w:rPr/>
        <w:t>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rPr/>
      </w:pPr>
      <w:r>
        <w:rP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reúne lugares a distintas alturas que se trabajan juntos, como la puna y el valle; para la segunda, un terreno cercado que se hereda por apellido. </w:t>
      </w:r>
      <w:r>
        <w:rPr>
          <w:i/>
          <w:iCs/>
        </w:rPr>
        <w:t>Altiplano</w:t>
      </w:r>
      <w:r>
        <w:rPr/>
        <w:t xml:space="preserve"> muestra las dos, y cómo la segunda gana terreno.</w:t>
      </w:r>
    </w:p>
    <w:p>
      <w:pPr>
        <w:pStyle w:val="BodyText"/>
        <w:rPr/>
      </w:pPr>
      <w:r>
        <w:rPr/>
        <w:t xml:space="preserve">Tampoco la piedra andina es la piedra del narrador. En el aymara de Bertonio, </w:t>
      </w:r>
      <w:r>
        <w:rPr>
          <w:i/>
          <w:iCs/>
        </w:rPr>
        <w:t>wanqa</w:t>
      </w:r>
      <w:r>
        <w:rPr/>
        <w:t xml:space="preserve"> es solo «piedra muy grande» (Bertonio, 2011 [1612]: 506). Pero Pierre Duviols advierte que los diccionarios callan el «contenido religioso» que dejan ver los juicios coloniales contra la idolatría. Allí, el </w:t>
      </w:r>
      <w:r>
        <w:rPr>
          <w:i/>
          <w:iCs/>
        </w:rPr>
        <w:t>huanca</w:t>
      </w:r>
      <w:r>
        <w:rPr/>
        <w:t xml:space="preserve"> era «el doble mineral del cadáver sagrado» (Duviols, 1979: 8), una piedra que recordaba «al Huari que primero amojonó tal campo, al que lo cercó, al que lo desbrozó» (ibid.: 13). </w:t>
      </w:r>
      <w:r>
        <w:rPr>
          <w:i/>
          <w:iCs/>
        </w:rPr>
        <w:t>Huanca</w:t>
      </w:r>
      <w:r>
        <w:rPr/>
        <w:t xml:space="preserve">, grafía colonial de </w:t>
      </w:r>
      <w:r>
        <w:rPr>
          <w:i/>
          <w:iCs/>
        </w:rPr>
        <w:t>wank’a</w:t>
      </w:r>
      <w:r>
        <w:rP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 </w:t>
      </w:r>
      <w:r>
        <w:rPr>
          <w:i/>
          <w:iCs/>
        </w:rPr>
        <w:t>wank’a</w:t>
      </w:r>
      <w:r>
        <w:rPr/>
        <w:t xml:space="preserve"> es una piedra con dueño y con lugar; la del narrador, una abstracción.</w:t>
      </w:r>
    </w:p>
    <w:p>
      <w:pPr>
        <w:pStyle w:val="BodyText"/>
        <w:rPr/>
      </w:pPr>
      <w:r>
        <w:rPr/>
        <w:t xml:space="preserve">¿Con qué leer, entonces? Con las manos. De las imágenes de la materia, Gaston Bachelard escribió: «La vista las nombra, pero la mano las conoce» (Bachelard, 1978 [1942]: 7-8, cit. en Pallasmaa, 2014: 53). En </w:t>
      </w:r>
      <w:r>
        <w:rPr>
          <w:i/>
          <w:iCs/>
        </w:rPr>
        <w:t>Altiplano</w:t>
      </w:r>
      <w:r>
        <w:rPr/>
        <w:t xml:space="preserve">, el narrador nombra; el comunario, que despeja y amontona, conoce. Cárcamo Pino llama </w:t>
      </w:r>
      <w:r>
        <w:rPr>
          <w:i/>
          <w:iCs/>
        </w:rPr>
        <w:t>manuaje</w:t>
      </w:r>
      <w:r>
        <w:rPr/>
        <w:t xml:space="preserve"> a lo que hacen las manos cuando piensan, expresan o comunican: un «neologismo homólogo al lenguaje, pero con las manos» (Cárcamo Pino, 2019: 1412, cit. en Cárcamo Pino, 2025b: 244). Escribir es una de esas acciones. Cárcamo Pino recuerda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rPr/>
      </w:pPr>
      <w:r>
        <w:rP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 </w:t>
      </w:r>
      <w:r>
        <w:rPr>
          <w:i/>
          <w:iCs/>
        </w:rPr>
        <w:t>kuraka</w:t>
      </w:r>
      <w:r>
        <w:rPr/>
        <w:t xml:space="preserve"> de Achacachi sostenían escuelas propias ya en 1929 (Barnadas, 1978 [1975]: 84). La pregunta no es si la mano o el papel, sino qué prácticas se autorizan y cuáles quedaron «minusvaloradas, invisibilizadas» por el «monopolio de la escritura y el lenguaje» (Cárcamo Pino, 2025b: 259).</w:t>
      </w:r>
      <w:ins w:id="2" w:author="Unknown Author" w:date="2026-10-10T17:23:57Z">
        <w:r>
          <w:rPr/>
          <w:t xml:space="preserve"> Los arquitectos Xavier Monteys y Pere Fuertes reconocen ese saber en quienes habitan las casas: su acción sobre la arquitectura, «lenta y sistemática», expresa «una opinión no escrita pero de innegable valor» (Monteys y Fuertes, 2001: 26).</w:t>
        </w:r>
      </w:ins>
    </w:p>
    <w:p>
      <w:pPr>
        <w:pStyle w:val="BodyText"/>
        <w:rPr/>
      </w:pPr>
      <w:r>
        <w:rPr/>
        <w:t>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ins w:id="3" w:author="Unknown Author" w:date="2026-10-10T17:23:57Z">
        <w:r>
          <w:rPr/>
          <w:t xml:space="preserve"> Se parecen también a los dibujos que, según cuentan Monteys y Fuertes, hizo Gordon Cullen para los edificios de Berthold Lubetkin: no servían para medir, sino que «mostraban cómo construir, montar o incluso reparar», e incluían «personas haciendo cosas» (Monteys y Fuertes, 2001: 128, 132). Por eso cada esquema anota, junto al trazo, lo que hace la mano.</w:t>
        </w:r>
      </w:ins>
    </w:p>
    <w:p>
      <w:pPr>
        <w:pStyle w:val="BodyText"/>
        <w:rPr/>
      </w:pPr>
      <w:r>
        <w:rPr/>
        <w:t xml:space="preserve">El método sigue los cuatro pasos que Simon Lundberg propone para explorar la imagen arquitectónica: observación, disección, ensamblaje e inmersión (Lundberg, 2019: 3). La </w:t>
      </w:r>
      <w:r>
        <w:rPr>
          <w:i/>
          <w:iCs/>
        </w:rPr>
        <w:t>observación</w:t>
      </w:r>
      <w:r>
        <w:rPr/>
        <w:t xml:space="preserve"> reúne en un fichero los datos del texto, con su página. La </w:t>
      </w:r>
      <w:r>
        <w:rPr>
          <w:i/>
          <w:iCs/>
        </w:rPr>
        <w:t>disección</w:t>
      </w:r>
      <w:r>
        <w:rPr/>
        <w:t xml:space="preserve"> separa las partes y las ordena según cuatro funciones constructivas: apoyo, vano, masa y límite (Cuadro 1). El </w:t>
      </w:r>
      <w:r>
        <w:rPr>
          <w:i/>
          <w:iCs/>
        </w:rPr>
        <w:t>ensamblaje</w:t>
      </w:r>
      <w:r>
        <w:rPr/>
        <w:t xml:space="preserve"> las vuelve a juntar, como el </w:t>
      </w:r>
      <w:r>
        <w:rPr>
          <w:i/>
          <w:iCs/>
        </w:rPr>
        <w:t>capriccio</w:t>
      </w:r>
      <w:r>
        <w:rPr/>
        <w:t xml:space="preserve"> de Canaletto, que reunía edificios de ciudades distintas en una ciudad «completamente imaginaria» (ibid.: 3); sus decisiones, un perfil o una analogía, son del dibujante y no cuentan como hallazgos. La </w:t>
      </w:r>
      <w:r>
        <w:rPr>
          <w:i/>
          <w:iCs/>
        </w:rPr>
        <w:t>inmersión</w:t>
      </w:r>
      <w:r>
        <w:rPr/>
        <w:t xml:space="preserve"> da atmósfera, sin confundirse «con el realismo visual» (ibid.: 21).</w:t>
      </w:r>
    </w:p>
    <w:p>
      <w:pPr>
        <w:pStyle w:val="BodyText"/>
        <w:rPr>
          <w:ins w:id="9" w:author="Unknown Author" w:date="2026-10-10T17:23:57Z"/>
        </w:rPr>
      </w:pPr>
      <w:ins w:id="4" w:author="Unknown Author" w:date="2026-10-10T17:23:57Z">
        <w:r>
          <w:rPr/>
          <w:t xml:space="preserve">El </w:t>
        </w:r>
      </w:ins>
      <w:ins w:id="5" w:author="Unknown Author" w:date="2026-10-10T17:23:57Z">
        <w:r>
          <w:rPr>
            <w:i/>
            <w:iCs/>
          </w:rPr>
          <w:t>ensamblaje</w:t>
        </w:r>
      </w:ins>
      <w:ins w:id="6" w:author="Unknown Author" w:date="2026-10-10T17:23:57Z">
        <w:r>
          <w:rPr/>
          <w:t xml:space="preserve"> tiene una teoría propia: la de la collage. Fuão la describe en cuatro tiempos: el recorte, los fragmentos o figuras, los encuentros y la cola. Lo decisivo no está en cortar ni en pegar, sino en el «intervalo» entre ambos, cuando las figuras recortadas se prueban unas junto a otras «antes de que la cola las fije» (Fuão, 2011: 8, 52). Allí se toman las decisiones del dibujo. Fuão pone además una condición que este trabajo adopta: se pueden juntar figuras e ideas lejanas, pero «con la condición de que haya una referencia explícita» que permita la analogía (ibid.: 53). Monteys y Fuertes llaman </w:t>
        </w:r>
      </w:ins>
      <w:ins w:id="7" w:author="Unknown Author" w:date="2026-10-10T17:23:57Z">
        <w:r>
          <w:rPr>
            <w:i/>
            <w:iCs/>
          </w:rPr>
          <w:t>casa collage</w:t>
        </w:r>
      </w:ins>
      <w:ins w:id="8" w:author="Unknown Author" w:date="2026-10-10T17:23:57Z">
        <w:r>
          <w:rPr/>
          <w:t xml:space="preserve"> a una casa hecha así, de ideas reunidas, que «no cabe en una sola casa» (Monteys y Fuertes, 2001: 12).</w:t>
        </w:r>
      </w:ins>
    </w:p>
    <w:p>
      <w:pPr>
        <w:pStyle w:val="BodyText"/>
        <w:rPr/>
      </w:pPr>
      <w:r>
        <w:rPr/>
        <w:t xml:space="preserve">El pastel conviene a esta novela porque su prosa mide el espacio con el cuerpo. En la jaula de la mina, Condori siente, «como si faltase suelo bajo sus pies», «la vertiginosa caída» (Botelho Gosálvez, 1982 [1945]: 143). Abbie Garrington llama </w:t>
      </w:r>
      <w:r>
        <w:rPr>
          <w:i/>
          <w:iCs/>
        </w:rPr>
        <w:t>háptico</w:t>
      </w:r>
      <w:r>
        <w:rPr/>
        <w:t xml:space="preserve"> a ese registro, el del tacto y el movimiento del cuerpo (Garrington, 2013: 16). A una prosa del tacto le corresponde un dibujo hecho con los dedos. Cada figura se examina en tres planos: (1) </w:t>
      </w:r>
      <w:r>
        <w:rPr>
          <w:i/>
          <w:iCs/>
        </w:rPr>
        <w:t>Texto</w:t>
      </w:r>
      <w:r>
        <w:rPr/>
        <w:t xml:space="preserve">, lo que describe la novela; (2) </w:t>
      </w:r>
      <w:r>
        <w:rPr>
          <w:i/>
          <w:iCs/>
        </w:rPr>
        <w:t>Operación</w:t>
      </w:r>
      <w:r>
        <w:rPr/>
        <w:t xml:space="preserve">, lo que hace el pastel con la materia; (3) </w:t>
      </w:r>
      <w:r>
        <w:rPr>
          <w:i/>
          <w:iCs/>
        </w:rPr>
        <w:t>Contraste</w:t>
      </w:r>
      <w:r>
        <w:rPr/>
        <w:t>, lo que el esquema obliga a decidir y el texto deja abierto o contradice, comparado, cuando se puede, con fuentes andinas.</w:t>
      </w:r>
    </w:p>
    <w:p>
      <w:pPr>
        <w:pStyle w:val="BodyText"/>
        <w:rPr/>
      </w:pPr>
      <w:r>
        <w:rPr>
          <w:b/>
          <w:bCs/>
        </w:rPr>
        <w:t>Cuadro 1.</w:t>
      </w:r>
      <w:r>
        <w:rPr/>
        <w:t xml:space="preserve"> </w:t>
      </w:r>
      <w:r>
        <w:rPr>
          <w:i/>
          <w:iCs/>
        </w:rPr>
        <w:t>Disección tectónica de las seis figuras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1"/>
        <w:gridCol w:w="1881"/>
        <w:gridCol w:w="1881"/>
        <w:gridCol w:w="1881"/>
        <w:gridCol w:w="1882"/>
      </w:tblGrid>
      <w:tr>
        <w:trPr>
          <w:tblHeader w:val="true"/>
        </w:trPr>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Figura</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Apoyo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Vano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Masa</w:t>
            </w:r>
          </w:p>
        </w:tc>
        <w:tc>
          <w:tcPr>
            <w:tcW w:w="1882"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Límite</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 Cráneo/nido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Muros de piedra del cerro (8); vigas atadas con paja (31)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puerta; el portal de la despedida (34)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Hollín, brasero, camastros de un adobe (30-31)</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Techo de paja con cruz y huaca (10)</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 Signo Escalonado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Peones que sostienen a los Villca (21)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Quienes «no tienen historia» (22)</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Tierras de los Villca (20)</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Estacas, mojones, títulos (9, 20, 36-37)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 Apacheta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Paulo, «gallardete clavado»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«Fauces del abismo»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Cumbres «góticas», niebla (109)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«Muralla que condena el horizonte» (108)</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 Castillete</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Callapos; viga que se quiebra (145, 154)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Pique, nichos, jaula, boquete (141-144)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Agua, cascotes, montón (144, 154)</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Rejilla; agua sobre el cuerpo (143-153)</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 Pelvis telúrica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Cadera del ganado (64)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Vertientes secas (58)</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 agrietada (56)</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Cielo sin pincelada (57)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 Centinela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Cayado; vara de Jilakata (73, 75)</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Puertas batidas (79)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Chujlla de los Villca (79)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Mirada sobre la inmensidad (80)</w:t>
            </w:r>
          </w:p>
        </w:tc>
      </w:tr>
    </w:tbl>
    <w:p>
      <w:pPr>
        <w:pStyle w:val="BodyText"/>
        <w:rPr/>
      </w:pPr>
      <w:bookmarkStart w:id="3" w:name="X92427c7b6fba06e7fef4b61070b9c7628a70d2e"/>
      <w:r>
        <w:rPr/>
        <w:t>Fuente: elaboración propia a partir de Botelho Gosálvez (1982 [1945]); entre paréntesis, páginas de la novela.</w:t>
      </w:r>
      <w:bookmarkEnd w:id="3"/>
    </w:p>
    <w:p>
      <w:pPr>
        <w:pStyle w:val="Heading2"/>
        <w:rPr/>
      </w:pPr>
      <w:bookmarkStart w:id="4" w:name="X2ca922873cfceb7333a31b77617b9aa1ee4c107"/>
      <w:r>
        <w:rPr/>
        <w:t>3. La chujlla: una casa a la medida del cuerpo</w:t>
      </w:r>
    </w:p>
    <w:p>
      <w:pPr>
        <w:pStyle w:val="FirstParagraph"/>
        <w:rPr/>
      </w:pPr>
      <w:r>
        <w:rPr/>
        <w:t xml:space="preserve">El narrador presenta el ayllu desde lo alto, como en un plano de situación: «las chujllas de las familias más antiguas han trepado en los riscos del cerro y desde allí parecen ocupar un sitio de preeminencia sobre el resto de chozas» (Botelho Gosálvez, 1982 [1945]: 6). La palabra clave es </w:t>
      </w:r>
      <w:r>
        <w:rPr>
          <w:i/>
          <w:iCs/>
        </w:rPr>
        <w:t>parecen</w:t>
      </w:r>
      <w:r>
        <w:rPr/>
        <w:t>: la jerarquía es una lectura del narrador sobre la pendiente, no un dato de la pendiente.</w:t>
      </w:r>
    </w:p>
    <w:p>
      <w:pPr>
        <w:pStyle w:val="BodyText"/>
        <w:rPr/>
      </w:pPr>
      <w:r>
        <w:rPr/>
        <w:t xml:space="preserve">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w:t>
      </w:r>
      <w:ins w:id="10" w:author="Unknown Author" w:date="2026-10-10T17:23:57Z">
        <w:r>
          <w:rPr/>
          <w:t xml:space="preserve">Es lo que Monteys y Fuertes piden a la cocina moderna: que no esconda sus utensilios, sino que los cuelgue a la vista, hasta que «ella misma deviene utensilio» (Monteys y Fuertes, 2001: 112). Para ellos, «una casa es una vivienda más la gente que la habita y los objetos que guarda» (ibid.: 14), y para Christopher Alexander un cuarto vale cuando deja ver «las cosas que cuentan tu historia» (Alexander et al., 1977: 1166). De las vigas cuelgan también «los ponchos y rebozos para los días de fiesta», y los charangos esperan «la mano que les acaricie» (Botelho Gosálvez, 1982 [1945]: 31). </w:t>
        </w:r>
      </w:ins>
      <w:r>
        <w:rPr/>
        <w:t>El narrador, en cambio, entra como un intruso que no habita, sino que escribe: los camastros son «morada de piojos y pulgas» (</w:t>
      </w:r>
      <w:ins w:id="11" w:author="Unknown Author" w:date="2026-10-10T17:23:57Z">
        <w:r>
          <w:rPr/>
          <w:t>ibid.</w:t>
        </w:r>
      </w:ins>
      <w:del w:id="12" w:author="Unknown Author" w:date="2026-10-10T17:23:57Z">
        <w:r>
          <w:rPr/>
          <w:delText>Botelho Gosálvez, 1982 [1945]: 31</w:delText>
        </w:r>
      </w:del>
      <w:r>
        <w:rPr/>
        <w:t>). Pallasmaa recuerda que «la casa es una metáfora del cuerpo y el cuerpo una metáfora de la casa» (Pallasmaa, 2014: 159); el narrador hace de la chujlla una madriguera.</w:t>
      </w:r>
    </w:p>
    <w:p>
      <w:pPr>
        <w:pStyle w:val="BodyText"/>
        <w:rPr/>
      </w:pPr>
      <w:r>
        <w:rPr>
          <w:b/>
          <w:bCs/>
        </w:rPr>
        <w:t xml:space="preserve">Figura 1. </w:t>
      </w:r>
      <w:r>
        <w:rPr>
          <w:b/>
          <w:bCs/>
          <w:i/>
          <w:iCs/>
        </w:rPr>
        <w:t>Cráneo/nido</w:t>
      </w:r>
      <w:r>
        <w:rPr>
          <w:b/>
          <w:bCs/>
        </w:rPr>
        <w:t>.</w:t>
      </w:r>
      <w:r>
        <w:rPr/>
        <w:t xml:space="preserve"> (1) </w:t>
      </w:r>
      <w:r>
        <w:rPr>
          <w:i/>
          <w:iCs/>
        </w:rPr>
        <w:t>Texto</w:t>
      </w:r>
      <w:r>
        <w:rPr/>
        <w:t xml:space="preserve">. Muros de piedra, fuego al centro, herramientas colgadas (Botelho Gosálvez, 1982 [1945]: 8, 30-31) y, en el techo, un crucifijo con «una pequeña huaca de barro cocido» (ibid.: 10). (2) </w:t>
      </w:r>
      <w:r>
        <w:rPr>
          <w:i/>
          <w:iCs/>
        </w:rPr>
        <w:t>Operación</w:t>
      </w:r>
      <w:r>
        <w:rPr/>
        <w:t xml:space="preserve">. Un corte a la altura de una persona en cuclillas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 </w:t>
      </w:r>
      <w:r>
        <w:rPr>
          <w:i/>
          <w:iCs/>
        </w:rPr>
        <w:t>Contraste</w:t>
      </w:r>
      <w:r>
        <w:rPr/>
        <w:t xml:space="preserve">. El esquema tiene que decidir desde dónde se mira, y el texto ofrece dos: el del narrador, intruso en la puerta, y el del cuerpo que habita, al que remiten el hollín, los camastros y las herramientas. El corte elige el segundo y se detiene ante el alma de los comunarios, para no hablar por ellos. </w:t>
      </w:r>
      <w:ins w:id="13" w:author="Unknown Author" w:date="2026-10-10T17:23:57Z">
        <w:r>
          <w:rPr/>
          <w:t xml:space="preserve">Es, además, una manera antigua de mostrar una casa con su vida dentro: las casas de muñecas «eliminan una pared» para enseñar los objetos que guardan y las relaciones entre sus ámbitos (Monteys y Fuertes, 2001: 30), y la pintura medieval suprimía las fachadas para volverse narrativa (Fuão, 2011: 43). Mirar en cuclillas es mirar la casa «en reposo», «desde el punto de vista de quien va a usarla» (Monteys y Fuertes, 2001: 58), y no desde el recorrido del intruso. </w:t>
        </w:r>
      </w:ins>
      <w:r>
        <w:rPr/>
        <w:t>El narrador, en cambio, la declara cerrada, «nadie podía entrar», y los ve como estatuas de «hierático aspecto» (</w:t>
      </w:r>
      <w:ins w:id="14" w:author="Unknown Author" w:date="2026-10-10T17:23:57Z">
        <w:r>
          <w:rPr/>
          <w:t>Botelho Gosálvez, 1982 [1945]</w:t>
        </w:r>
      </w:ins>
      <w:del w:id="15" w:author="Unknown Author" w:date="2026-10-10T17:23:57Z">
        <w:r>
          <w:rPr/>
          <w:delText>ibid.</w:delText>
        </w:r>
      </w:del>
      <w:r>
        <w:rPr/>
        <w:t>: 65).</w:t>
      </w:r>
    </w:p>
    <w:p>
      <w:pPr>
        <w:pStyle w:val="Figura"/>
        <w:rPr/>
      </w:pPr>
      <w:r>
        <w:rPr/>
        <w:drawing>
          <wp:inline distT="0" distB="0" distL="0" distR="0">
            <wp:extent cx="5039995" cy="338391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039995" cy="3383915"/>
                    </a:xfrm>
                    <a:prstGeom prst="rect">
                      <a:avLst/>
                    </a:prstGeom>
                  </pic:spPr>
                </pic:pic>
              </a:graphicData>
            </a:graphic>
          </wp:inline>
        </w:drawing>
      </w:r>
    </w:p>
    <w:p>
      <w:pPr>
        <w:pStyle w:val="Piedefigura"/>
        <w:rPr/>
      </w:pPr>
      <w:r>
        <w:rPr>
          <w:b/>
          <w:bCs/>
        </w:rPr>
        <w:t>Figura 1.</w:t>
      </w:r>
      <w:r>
        <w:rPr/>
        <w:t xml:space="preserve"> </w:t>
      </w:r>
      <w:r>
        <w:rPr>
          <w:i/>
          <w:iCs/>
        </w:rPr>
        <w:t>Cráneo/nido: sección de la chujlla de los Huanca</w:t>
      </w:r>
      <w:r>
        <w:rPr/>
        <w:t>. Esquema de encaje del pastel al óleo. Fuente: elaboración propia con asistencia de IA.</w:t>
      </w:r>
    </w:p>
    <w:p>
      <w:pPr>
        <w:pStyle w:val="BodyText"/>
        <w:rPr/>
      </w:pPr>
      <w:r>
        <w:rPr/>
        <w:t xml:space="preserve">El narrador tampoco le ve cuartos: «Las chujllas no tienen cuartos ni mucho menos» (ibid.: 30). Pero los Huanca viven en «tres chujllas de adobe y paja brava que rodean al patio» (ibid.): los cuartos son las chujllas. </w:t>
      </w:r>
      <w:ins w:id="16" w:author="Unknown Author" w:date="2026-10-10T17:23:57Z">
        <w:r>
          <w:rPr/>
          <w:t xml:space="preserve">De noche, los hijos mayores están en las chozas próximas y entran en la del padre cuando él los llama (ibid.: 31). Alexander y su equipo, que estudiaron en detalle casas populares peruanas, llaman </w:t>
        </w:r>
      </w:ins>
      <w:ins w:id="17" w:author="Unknown Author" w:date="2026-10-10T17:23:57Z">
        <w:r>
          <w:rPr>
            <w:i/>
            <w:iCs/>
          </w:rPr>
          <w:t>gradiente de intimidad</w:t>
        </w:r>
      </w:ins>
      <w:ins w:id="18" w:author="Unknown Author" w:date="2026-10-10T17:23:57Z">
        <w:r>
          <w:rPr/>
          <w:t xml:space="preserve"> a ese orden de lo público a lo íntimo, en el que cada persona «sabe exactamente hasta dónde puede penetrar en la casa» (Alexander et al., 1977: 610-611). Monteys y Fuertes describen, sin conocerla, la casa de los Huanca: una casa que es «el resultado de una operación de agregación, más que de una subdivisión del espacio hasta convertirlo en distintas piezas especializadas» (Monteys y Fuertes, 2001: 56). Y para Alexander </w:t>
        </w:r>
      </w:ins>
      <w:del w:id="19" w:author="Unknown Author" w:date="2026-10-10T17:23:57Z">
        <w:r>
          <w:rPr/>
          <w:delText xml:space="preserve">Para Christopher Alexander, </w:delText>
        </w:r>
      </w:del>
      <w:r>
        <w:rPr/>
        <w:t xml:space="preserve">todos los patrones de una casa caben, superpuestos, «en una simple cabaña de una sola habitación» (Alexander et al., 1977: xliii). Donde el narrador ve una madriguera, </w:t>
      </w:r>
      <w:ins w:id="20" w:author="Unknown Author" w:date="2026-10-10T17:23:57Z">
        <w:r>
          <w:rPr/>
          <w:t>ellos verían</w:t>
        </w:r>
      </w:ins>
      <w:del w:id="21" w:author="Unknown Author" w:date="2026-10-10T17:23:57Z">
        <w:r>
          <w:rPr/>
          <w:delText>él vería</w:delText>
        </w:r>
      </w:del>
      <w:r>
        <w:rPr/>
        <w:t xml:space="preserve"> una casa comprimida.</w:t>
      </w:r>
    </w:p>
    <w:p>
      <w:pPr>
        <w:pStyle w:val="BodyText"/>
        <w:rPr>
          <w:ins w:id="25" w:author="Unknown Author" w:date="2026-10-10T17:23:57Z"/>
        </w:rPr>
      </w:pPr>
      <w:ins w:id="22" w:author="Unknown Author" w:date="2026-10-10T17:23:57Z">
        <w:r>
          <w:rPr/>
          <w:t xml:space="preserve">En el centro de esa casa está el fuego. Los braseros arden «en el centro del cuarto» (Botelho Gosálvez, 1982 [1945]: 30), y en cuclillas, «cerca del fuego», Paulo Huanca reúne a sus hijos para decidir quién se va (ibid.: 32). Para Alexander, lo más básico de un lugar común es «la comida y el fuego» (Alexander et al., 1977: 621). Monteys y Fuertes recuerdan que </w:t>
        </w:r>
      </w:ins>
      <w:ins w:id="23" w:author="Unknown Author" w:date="2026-10-10T17:23:57Z">
        <w:r>
          <w:rPr>
            <w:i/>
            <w:iCs/>
          </w:rPr>
          <w:t>hogar</w:t>
        </w:r>
      </w:ins>
      <w:ins w:id="24" w:author="Unknown Author" w:date="2026-10-10T17:23:57Z">
        <w:r>
          <w:rPr/>
          <w:t xml:space="preserve"> nombra «un modo de domesticar el fuego», y que la casa de origen medieval, «que pervive aun hoy en la tradición rural», no tenía piezas especializadas: en ella «se cocina, se trabaja, se recibe o se duerme, y son los muebles, en lugar de las estancias, los que determinan esos usos» (Monteys y Fuertes, 2001: 104). En la chujlla, el brasero, los camastros contra la pared y las vigas de las que cuelgan las herramientas reparten esos usos. Pero también estas son miradas de fuera, aunque admiren lo que el narrador desprecia: Alexander llama a su gradiente un principio «casi arquetípico» (Alexander et al., 1977: 611), y el arquetipo, como la naturaleza que critica Cornejo Polar, también saca a la chujlla de la historia.</w:t>
        </w:r>
      </w:ins>
    </w:p>
    <w:p>
      <w:pPr>
        <w:pStyle w:val="BodyText"/>
        <w:rPr/>
      </w:pPr>
      <w:r>
        <w:rPr/>
        <w:t>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rPr/>
      </w:pPr>
      <w:r>
        <w:rPr/>
        <w:t>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rPr/>
      </w:pPr>
      <w:r>
        <w:rPr>
          <w:b/>
          <w:bCs/>
        </w:rPr>
        <w:t xml:space="preserve">Figura 2. </w:t>
      </w:r>
      <w:r>
        <w:rPr>
          <w:b/>
          <w:bCs/>
          <w:i/>
          <w:iCs/>
        </w:rPr>
        <w:t>Signo Escalonado frente al mapa</w:t>
      </w:r>
      <w:r>
        <w:rPr>
          <w:b/>
          <w:bCs/>
        </w:rPr>
        <w:t>.</w:t>
      </w:r>
      <w:r>
        <w:rPr/>
        <w:t xml:space="preserve"> (1) </w:t>
      </w:r>
      <w:r>
        <w:rPr>
          <w:i/>
          <w:iCs/>
        </w:rPr>
        <w:t>Texto</w:t>
      </w:r>
      <w:r>
        <w:rP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 </w:t>
      </w:r>
      <w:r>
        <w:rPr>
          <w:i/>
          <w:iCs/>
        </w:rPr>
        <w:t>Operación</w:t>
      </w:r>
      <w:r>
        <w:rPr/>
        <w:t>.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w:t>
      </w:r>
      <w:ins w:id="26" w:author="Unknown Author" w:date="2026-10-10T17:23:57Z">
        <w:r>
          <w:rPr/>
          <w:t>, o mejor, a inscribir: Fuão recuerda que las primeras escrituras fueron incisiones en piedras, en barro y en la piel, y que quien hace collage «no escribe, inscribe», es decir, escribe «en profundidad» (Fuão, 2011: 36)</w:t>
        </w:r>
      </w:ins>
      <w:r>
        <w:rPr/>
        <w:t xml:space="preserve">. Entre el signo y el mapa cambia la operación de la mano, no la mano. (3) </w:t>
      </w:r>
      <w:r>
        <w:rPr>
          <w:i/>
          <w:iCs/>
        </w:rPr>
        <w:t>Contraste</w:t>
      </w:r>
      <w:r>
        <w:rPr/>
        <w:t>.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rPr/>
      </w:pPr>
      <w:r>
        <w:rPr/>
        <w:drawing>
          <wp:inline distT="0" distB="0" distL="0" distR="0">
            <wp:extent cx="4032250" cy="57600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032250" cy="5760085"/>
                    </a:xfrm>
                    <a:prstGeom prst="rect">
                      <a:avLst/>
                    </a:prstGeom>
                  </pic:spPr>
                </pic:pic>
              </a:graphicData>
            </a:graphic>
          </wp:inline>
        </w:drawing>
      </w:r>
    </w:p>
    <w:p>
      <w:pPr>
        <w:pStyle w:val="Piedefigura"/>
        <w:rPr/>
      </w:pPr>
      <w:r>
        <w:rPr>
          <w:b/>
          <w:bCs/>
        </w:rPr>
        <w:t>Figura 2.</w:t>
      </w:r>
      <w:r>
        <w:rPr/>
        <w:t xml:space="preserve"> </w:t>
      </w:r>
      <w:r>
        <w:rPr>
          <w:i/>
          <w:iCs/>
        </w:rPr>
        <w:t>Signo Escalonado frente al mapa: el cerro de Jatun-Kolla en sección y en planta</w:t>
      </w:r>
      <w:r>
        <w:rPr/>
        <w:t>. Esquema de encaje del pastel al óleo. Fuente: elaboración propia con asistencia de IA.</w:t>
      </w:r>
      <w:bookmarkEnd w:id="4"/>
    </w:p>
    <w:p>
      <w:pPr>
        <w:pStyle w:val="Heading2"/>
        <w:rPr/>
      </w:pPr>
      <w:bookmarkStart w:id="5" w:name="umacachi-la-trampa-de-los-papeles"/>
      <w:r>
        <w:rPr/>
        <w:t>4. Umacachi: la trampa de los papeles</w:t>
      </w:r>
    </w:p>
    <w:p>
      <w:pPr>
        <w:pStyle w:val="FirstParagraph"/>
        <w:rPr/>
      </w:pPr>
      <w:r>
        <w:rPr/>
        <w:t>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rPr/>
      </w:pPr>
      <w:r>
        <w:rPr/>
        <w:t xml:space="preserve">Allí manda el Alcalde vitalicio, el doctor Margarito Mendoza, que anda «con el fajo de expedientes bajo el brazo» y sabe «tejer obscuras mallas de términos seudo jurídicos»; los tinterillos «urden pleitos por nada» (ibid.: 86). </w:t>
      </w:r>
      <w:r>
        <w:rPr>
          <w:i/>
          <w:iCs/>
        </w:rPr>
        <w:t>Urdir</w:t>
      </w:r>
      <w:r>
        <w:rPr/>
        <w:t xml:space="preserve"> 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ins w:id="27" w:author="Unknown Author" w:date="2026-10-10T17:23:57Z">
        <w:r>
          <w:rPr/>
          <w:t xml:space="preserve"> Alexander explica el papeleo por el tamaño: cuando la gente ya no puede tratarse cara a cara, los reglamentos se cumplen «a ciegas» (Alexander et al., 1977: 405). Umacachi lo desmiente: es una aldea, Vicente trata en persona con el tinterillo y el papel despoja igual. No lo mueve el tamaño, sino la casta.</w:t>
        </w:r>
      </w:ins>
    </w:p>
    <w:p>
      <w:pPr>
        <w:pStyle w:val="BodyText"/>
        <w:rPr/>
      </w:pPr>
      <w:r>
        <w:rPr/>
        <w:t>Los Villca llegan a la aldea con treinta y cuatro ovejas, y la chola Encarnación, por cincuenta bolivianos, les cede el corral: «Tu familia puede acomodarse en el pesebre» (</w:t>
      </w:r>
      <w:ins w:id="28" w:author="Unknown Author" w:date="2026-10-10T17:23:57Z">
        <w:r>
          <w:rPr/>
          <w:t>Botelho Gosálvez, 1982 [1945]</w:t>
        </w:r>
      </w:ins>
      <w:del w:id="29" w:author="Unknown Author" w:date="2026-10-10T17:23:57Z">
        <w:r>
          <w:rPr/>
          <w:delText>ibid.</w:delText>
        </w:r>
      </w:del>
      <w:r>
        <w:rPr/>
        <w:t>: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w:t>
      </w:r>
      <w:ins w:id="30" w:author="Unknown Author" w:date="2026-10-10T17:23:57Z">
        <w:r>
          <w:rPr/>
          <w:t>. Es un corte en el sentido de Fuão: la tijera, «un instrumento al servicio de la razón», define, y definir es distinguir «entre lo incluido y lo excluido, el dentro y el fuera» (Fuão, 2011: 33-35)</w:t>
        </w:r>
      </w:ins>
      <w:r>
        <w:rPr/>
        <w:t>.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rPr/>
      </w:pPr>
      <w:r>
        <w:rPr/>
        <w:t>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rPr/>
      </w:pPr>
      <w:r>
        <w:rP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 </w:t>
      </w:r>
      <w:r>
        <w:rPr>
          <w:i/>
          <w:iCs/>
        </w:rPr>
        <w:t>domesticar</w:t>
      </w:r>
      <w:r>
        <w:rPr/>
        <w:t xml:space="preserve"> viene de </w:t>
      </w:r>
      <w:r>
        <w:rPr>
          <w:i/>
          <w:iCs/>
        </w:rPr>
        <w:t>domus</w:t>
      </w:r>
      <w:r>
        <w:rPr/>
        <w:t>, casa: la aldea los alojó como a animales de casa.</w:t>
      </w:r>
      <w:bookmarkEnd w:id="5"/>
    </w:p>
    <w:p>
      <w:pPr>
        <w:pStyle w:val="Heading2"/>
        <w:rPr/>
      </w:pPr>
      <w:bookmarkStart w:id="6" w:name="el-éxodo-los-yungas-y-la-mina"/>
      <w:r>
        <w:rPr/>
        <w:t>5. El éxodo: los Yungas y la mina</w:t>
      </w:r>
    </w:p>
    <w:p>
      <w:pPr>
        <w:pStyle w:val="FirstParagraph"/>
        <w:rPr/>
      </w:pPr>
      <w:r>
        <w:rP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w:t>
      </w:r>
      <w:ins w:id="31" w:author="Unknown Author" w:date="2026-10-10T17:23:57Z">
        <w:r>
          <w:rPr/>
          <w:t xml:space="preserve">Monteys y Fuertes retoman, para la ciudad, la </w:t>
        </w:r>
      </w:ins>
      <w:ins w:id="32" w:author="Unknown Author" w:date="2026-10-10T17:23:57Z">
        <w:r>
          <w:rPr>
            <w:i/>
            <w:iCs/>
          </w:rPr>
          <w:t>casa difusa</w:t>
        </w:r>
      </w:ins>
      <w:ins w:id="33" w:author="Unknown Author" w:date="2026-10-10T17:23:57Z">
        <w:r>
          <w:rPr/>
          <w:t xml:space="preserve"> de Gerardo Ragone: «una casa compuesta de piezas dispersas en el territorio» (Monteys y Fuertes, 2001: 146); a su modo, el archipiélago andino era una casa así, y el éxodo, en lugar de extenderla, la deshace. </w:t>
        </w:r>
      </w:ins>
      <w:r>
        <w:rPr/>
        <w:t>En la apacheta, el viento sacude el poncho de Paulo Huanca «como un gallardete clavado en la ceja de la apacheta», su familia reza de rodillas y las cumbres se alzan «semejantes a fantásticas construcciones góticas» (</w:t>
      </w:r>
      <w:ins w:id="34" w:author="Unknown Author" w:date="2026-10-10T17:23:57Z">
        <w:r>
          <w:rPr/>
          <w:t>Botelho Gosálvez, 1982 [1945]</w:t>
        </w:r>
      </w:ins>
      <w:del w:id="35" w:author="Unknown Author" w:date="2026-10-10T17:23:57Z">
        <w:r>
          <w:rPr/>
          <w:delText>ibid.</w:delText>
        </w:r>
      </w:del>
      <w:r>
        <w:rPr/>
        <w:t>: 109).</w:t>
      </w:r>
    </w:p>
    <w:p>
      <w:pPr>
        <w:pStyle w:val="BodyText"/>
        <w:rPr/>
      </w:pPr>
      <w:r>
        <w:rP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 </w:t>
      </w:r>
      <w:r>
        <w:rPr>
          <w:i/>
          <w:iCs/>
        </w:rPr>
        <w:t>crimen</w:t>
      </w:r>
      <w:r>
        <w:rPr/>
        <w:t>,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rPr/>
      </w:pPr>
      <w:r>
        <w:rPr>
          <w:b/>
          <w:bCs/>
        </w:rPr>
        <w:t xml:space="preserve">Figura 3. </w:t>
      </w:r>
      <w:r>
        <w:rPr>
          <w:b/>
          <w:bCs/>
          <w:i/>
          <w:iCs/>
        </w:rPr>
        <w:t>Umbral de la apacheta</w:t>
      </w:r>
      <w:r>
        <w:rPr>
          <w:b/>
          <w:bCs/>
        </w:rPr>
        <w:t>.</w:t>
      </w:r>
      <w:r>
        <w:rPr/>
        <w:t xml:space="preserve"> (1) </w:t>
      </w:r>
      <w:r>
        <w:rPr>
          <w:i/>
          <w:iCs/>
        </w:rPr>
        <w:t>Texto</w:t>
      </w:r>
      <w:r>
        <w:rP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 </w:t>
      </w:r>
      <w:r>
        <w:rPr>
          <w:i/>
          <w:iCs/>
        </w:rPr>
        <w:t>Operación</w:t>
      </w:r>
      <w:r>
        <w:rPr/>
        <w:t xml:space="preserve">. Una hoja apaisada partida por la cresta. Del lado de la puna, pastel seco sobre papel de grano grueso, que asoma como piedra; del lado del yunga, pastel disuelto en capas transparentes que chorrean. En la cresta, una técnica se vuelve la otra. (3) </w:t>
      </w:r>
      <w:r>
        <w:rPr>
          <w:i/>
          <w:iCs/>
        </w:rPr>
        <w:t>Contraste</w:t>
      </w:r>
      <w:r>
        <w:rPr/>
        <w:t xml:space="preserve">. El esquema sigue al texto y dibuja un umbral sin montón. Pero el aymara colonial llama </w:t>
      </w:r>
      <w:r>
        <w:rPr>
          <w:i/>
          <w:iCs/>
        </w:rPr>
        <w:t>apachita</w:t>
      </w:r>
      <w:r>
        <w:rPr/>
        <w:t xml:space="preserve"> 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 </w:t>
      </w:r>
      <w:r>
        <w:rPr>
          <w:i/>
          <w:iCs/>
        </w:rPr>
        <w:t>wank’a</w:t>
      </w:r>
      <w:r>
        <w:rPr/>
        <w:t xml:space="preserve"> fuera de su lugar. Y lo único que cruza el abismo es colectivo y está hecho de manos, como la apacheta que falta.</w:t>
      </w:r>
      <w:ins w:id="36" w:author="Unknown Author" w:date="2026-10-10T17:23:57Z">
        <w:r>
          <w:rPr/>
          <w:t xml:space="preserve"> Para Fuão, la cola es ese puente sobre «el abismo del recorte»: lo que comunica a los pueblos «separados por las gargantas de los abismos geográficos» (Fuão, 2011: 80).</w:t>
        </w:r>
      </w:ins>
    </w:p>
    <w:p>
      <w:pPr>
        <w:pStyle w:val="Figura"/>
        <w:rPr/>
      </w:pPr>
      <w:r>
        <w:rPr/>
        <w:drawing>
          <wp:inline distT="0" distB="0" distL="0" distR="0">
            <wp:extent cx="5039995" cy="359981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39995" cy="3599815"/>
                    </a:xfrm>
                    <a:prstGeom prst="rect">
                      <a:avLst/>
                    </a:prstGeom>
                  </pic:spPr>
                </pic:pic>
              </a:graphicData>
            </a:graphic>
          </wp:inline>
        </w:drawing>
      </w:r>
    </w:p>
    <w:p>
      <w:pPr>
        <w:pStyle w:val="Piedefigura"/>
        <w:rPr/>
      </w:pPr>
      <w:r>
        <w:rPr>
          <w:b/>
          <w:bCs/>
        </w:rPr>
        <w:t>Figura 3.</w:t>
      </w:r>
      <w:r>
        <w:rPr/>
        <w:t xml:space="preserve"> </w:t>
      </w:r>
      <w:r>
        <w:rPr>
          <w:i/>
          <w:iCs/>
        </w:rPr>
        <w:t>Umbral de la apacheta: la ceja de la cordillera y la fauce del yunga</w:t>
      </w:r>
      <w:r>
        <w:rPr/>
        <w:t>. Esquema de encaje del pastel al óleo. Fuente: elaboración propia con asistencia de IA.</w:t>
      </w:r>
    </w:p>
    <w:p>
      <w:pPr>
        <w:pStyle w:val="BodyText"/>
        <w:rPr/>
      </w:pPr>
      <w:r>
        <w:rP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w:t>
      </w:r>
      <w:ins w:id="37" w:author="Unknown Author" w:date="2026-10-10T17:23:57Z">
        <w:r>
          <w:rPr/>
          <w:t xml:space="preserve">La huella es un </w:t>
        </w:r>
      </w:ins>
      <w:ins w:id="38" w:author="Unknown Author" w:date="2026-10-10T17:23:57Z">
        <w:r>
          <w:rPr>
            <w:i/>
            <w:iCs/>
          </w:rPr>
          <w:t>índice</w:t>
        </w:r>
      </w:ins>
      <w:ins w:id="39" w:author="Unknown Author" w:date="2026-10-10T17:23:57Z">
        <w:r>
          <w:rPr/>
          <w:t xml:space="preserve"> en el sentido que Fuão toma de Peirce: una «conexión física entre representante y representado», como el humo lo es del fuego (Fuão, 2011: 28), y sirve a lo que él llama «el control sobre los cuerpos»: el «registro institucional» (ibid.: 48). </w:t>
        </w:r>
      </w:ins>
      <w:r>
        <w:rPr/>
        <w:t>Por la mañana camina hacia la entrada por el desmonte (</w:t>
      </w:r>
      <w:ins w:id="40" w:author="Unknown Author" w:date="2026-10-10T17:23:57Z">
        <w:r>
          <w:rPr/>
          <w:t>Botelho Gosálvez, 1982 [1945]: 140</w:t>
        </w:r>
      </w:ins>
      <w:del w:id="41" w:author="Unknown Author" w:date="2026-10-10T17:23:57Z">
        <w:r>
          <w:rPr/>
          <w:delText>ibid.</w:delText>
        </w:r>
      </w:del>
      <w:r>
        <w:rPr/>
        <w:t>), la montaña de roca sin mineral que la mina saca y amontona: otra montaña de piedras, hecha con un cerro deshecho. El capataz le promete otra cosecha: «Aquí cosecharás miles de cargas de estaño» (ibid.: 142).</w:t>
      </w:r>
    </w:p>
    <w:p>
      <w:pPr>
        <w:pStyle w:val="BodyText"/>
        <w:rPr/>
      </w:pPr>
      <w:r>
        <w:rP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w:t>
      </w:r>
      <w:ins w:id="42" w:author="Unknown Author" w:date="2026-10-10T17:23:57Z">
        <w:r>
          <w:rPr/>
          <w:t xml:space="preserve">Es un montaje en el sentido de Fuão: una actividad «más técnica, más mecánica, un juntar y pegar», distinta de la collage, que cambia el sentido de lo que junta (Fuão, 2011: 102); la palabra </w:t>
        </w:r>
      </w:ins>
      <w:ins w:id="43" w:author="Unknown Author" w:date="2026-10-10T17:23:57Z">
        <w:r>
          <w:rPr>
            <w:i/>
            <w:iCs/>
          </w:rPr>
          <w:t>fotomontaje</w:t>
        </w:r>
      </w:ins>
      <w:ins w:id="44" w:author="Unknown Author" w:date="2026-10-10T17:23:57Z">
        <w:r>
          <w:rPr/>
          <w:t xml:space="preserve">, recuerda, nació «de la cultura industrial, del montaje de turbinas, de máquinas» (ibid.: 97). </w:t>
        </w:r>
      </w:ins>
      <w:r>
        <w:rPr/>
        <w:t>El agua mide el cuerpo, de los tobillos a las rodillas, la cintura y el ombligo (</w:t>
      </w:r>
      <w:ins w:id="45" w:author="Unknown Author" w:date="2026-10-10T17:23:57Z">
        <w:r>
          <w:rPr/>
          <w:t>Botelho Gosálvez, 1982 [1945]</w:t>
        </w:r>
      </w:ins>
      <w:del w:id="46" w:author="Unknown Author" w:date="2026-10-10T17:23:57Z">
        <w:r>
          <w:rPr/>
          <w:delText>ibid.</w:delText>
        </w:r>
      </w:del>
      <w:r>
        <w:rPr/>
        <w:t>: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rPr/>
      </w:pPr>
      <w:r>
        <w:rPr>
          <w:b/>
          <w:bCs/>
        </w:rPr>
        <w:t xml:space="preserve">Figura 4. </w:t>
      </w:r>
      <w:r>
        <w:rPr>
          <w:b/>
          <w:bCs/>
          <w:i/>
          <w:iCs/>
        </w:rPr>
        <w:t>El castillete y la caída al plano 450</w:t>
      </w:r>
      <w:r>
        <w:rPr>
          <w:b/>
          <w:bCs/>
        </w:rPr>
        <w:t>.</w:t>
      </w:r>
      <w:r>
        <w:rPr/>
        <w:t xml:space="preserve"> (1) </w:t>
      </w:r>
      <w:r>
        <w:rPr>
          <w:i/>
          <w:iCs/>
        </w:rPr>
        <w:t>Texto</w:t>
      </w:r>
      <w:r>
        <w:rPr/>
        <w:t xml:space="preserve">. Torre, campamento escalonado, nichos, jaula, galería inundada, derrumbe (Botelho Gosálvez, 1982 [1945]: 134-154). (2) </w:t>
      </w:r>
      <w:r>
        <w:rPr>
          <w:i/>
          <w:iCs/>
        </w:rPr>
        <w:t>Operación</w:t>
      </w:r>
      <w:r>
        <w:rP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 </w:t>
      </w:r>
      <w:r>
        <w:rPr>
          <w:i/>
          <w:iCs/>
        </w:rPr>
        <w:t>Contraste</w:t>
      </w:r>
      <w:r>
        <w:rPr/>
        <w:t>.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rPr/>
      </w:pPr>
      <w:r>
        <w:rPr/>
        <w:drawing>
          <wp:inline distT="0" distB="0" distL="0" distR="0">
            <wp:extent cx="4214495" cy="576008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214495" cy="5760085"/>
                    </a:xfrm>
                    <a:prstGeom prst="rect">
                      <a:avLst/>
                    </a:prstGeom>
                  </pic:spPr>
                </pic:pic>
              </a:graphicData>
            </a:graphic>
          </wp:inline>
        </w:drawing>
      </w:r>
    </w:p>
    <w:p>
      <w:pPr>
        <w:pStyle w:val="Piedefigura"/>
        <w:rPr/>
      </w:pPr>
      <w:r>
        <w:rPr>
          <w:b/>
          <w:bCs/>
        </w:rPr>
        <w:t>Figura 4.</w:t>
      </w:r>
      <w:r>
        <w:rPr/>
        <w:t xml:space="preserve"> </w:t>
      </w:r>
      <w:r>
        <w:rPr>
          <w:i/>
          <w:iCs/>
        </w:rPr>
        <w:t>El castillete y la caída al plano 450</w:t>
      </w:r>
      <w:r>
        <w:rPr/>
        <w:t>. Esquema de encaje del pastel al óleo. Fuente: elaboración propia con asistencia de IA.</w:t>
      </w:r>
      <w:bookmarkEnd w:id="6"/>
    </w:p>
    <w:p>
      <w:pPr>
        <w:pStyle w:val="Heading2"/>
        <w:rPr/>
      </w:pPr>
      <w:bookmarkStart w:id="7" w:name="X708018351417205dc0884bafc6e4107def1df7f"/>
      <w:r>
        <w:rPr/>
        <w:t>6. La sequía y el linchamiento: el cuerpo en la catástrofe</w:t>
      </w:r>
    </w:p>
    <w:p>
      <w:pPr>
        <w:pStyle w:val="FirstParagraph"/>
        <w:rPr/>
      </w:pPr>
      <w:r>
        <w:rPr/>
        <w:t>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Al salir del ayllu, las casas ajenas se les cierran: a los vecinos, la sequía «les endureció el alma como había endurecido la tierra», y los reciben «dándoles con las puertas» y a pedradas (ibid.: 80).</w:t>
      </w:r>
    </w:p>
    <w:p>
      <w:pPr>
        <w:pStyle w:val="BodyText"/>
        <w:rPr/>
      </w:pPr>
      <w:r>
        <w:rP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w:t>
      </w:r>
      <w:ins w:id="47" w:author="Unknown Author" w:date="2026-10-10T17:23:57Z">
        <w:r>
          <w:rPr/>
          <w:t xml:space="preserve">Fuão distingue la fragmentación, que despedaza, de la dispersión, en la que los pedazos, «separados del cuerpo original», quedan «distanciados unos de otros» (Fuão, 2011: 16). El linchamiento hace las dos cosas. </w:t>
        </w:r>
      </w:ins>
      <w:r>
        <w:rPr/>
        <w:t xml:space="preserve">La escena admite dos lecturas. Una pasa por Francis Bacon: en </w:t>
      </w:r>
      <w:r>
        <w:rPr>
          <w:i/>
          <w:iCs/>
        </w:rPr>
        <w:t>Crucifixión</w:t>
      </w:r>
      <w:r>
        <w:rPr/>
        <w:t xml:space="preserve"> (1965), dos jueces examinan «las manipulaciones de la carne» (Martin, 2014: 85), como la comunidad y el lector ante el cuerpo de Basilio. La otra pasa por la </w:t>
      </w:r>
      <w:r>
        <w:rPr>
          <w:i/>
          <w:iCs/>
        </w:rPr>
        <w:t>kenchería</w:t>
      </w:r>
      <w:r>
        <w:rPr/>
        <w:t>,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ins w:id="48" w:author="Unknown Author" w:date="2026-10-10T17:23:57Z">
        <w:r>
          <w:rPr/>
          <w:t>, y reunir sus pedazos en una hoja, una collage</w:t>
        </w:r>
      </w:ins>
      <w:r>
        <w:rPr/>
        <w:t>.</w:t>
      </w:r>
    </w:p>
    <w:p>
      <w:pPr>
        <w:pStyle w:val="BodyText"/>
        <w:rPr/>
      </w:pPr>
      <w:r>
        <w:rPr>
          <w:b/>
          <w:bCs/>
        </w:rPr>
        <w:t xml:space="preserve">Figura 5. </w:t>
      </w:r>
      <w:r>
        <w:rPr>
          <w:b/>
          <w:bCs/>
          <w:i/>
          <w:iCs/>
        </w:rPr>
        <w:t>Pelvis telúrica / Pachamama sorda</w:t>
      </w:r>
      <w:r>
        <w:rPr>
          <w:b/>
          <w:bCs/>
        </w:rPr>
        <w:t>.</w:t>
      </w:r>
      <w:r>
        <w:rPr/>
        <w:t xml:space="preserve"> (1) </w:t>
      </w:r>
      <w:r>
        <w:rPr>
          <w:i/>
          <w:iCs/>
        </w:rPr>
        <w:t>Texto</w:t>
      </w:r>
      <w:r>
        <w:rPr/>
        <w:t xml:space="preserve">. «La Pacha Mama, sorda, vieja, extenuada, recibía el cuerpo de sus más fieles hijos para encerrarlos en su vientre de sequedad inexorable» (ibid.: 66); las vacas hambrientas muestran «las nalgas abiertas a la manera de una luna menguante» (ibid.: 64). (2) </w:t>
      </w:r>
      <w:r>
        <w:rPr>
          <w:i/>
          <w:iCs/>
        </w:rPr>
        <w:t>Operación</w:t>
      </w:r>
      <w:r>
        <w:rPr/>
        <w:t xml:space="preserve">. El cielo se deja en papel desnudo: la sequía como falta de pincelada. La cuenca seca de las vertientes (ibid.: 58) se dibuja como una pelvis, la cadera del ganado vuelta luna menguante, en blanco hueso sobre tierra de sombra, agrietada a punta de raspado. (3) </w:t>
      </w:r>
      <w:r>
        <w:rPr>
          <w:i/>
          <w:iCs/>
        </w:rPr>
        <w:t>Contraste</w:t>
      </w:r>
      <w:r>
        <w:rPr/>
        <w:t xml:space="preserve">. Que la tierra sea madre no lo inventa el narrador: para Bertonio, </w:t>
      </w:r>
      <w:r>
        <w:rPr>
          <w:i/>
          <w:iCs/>
        </w:rPr>
        <w:t>Pachamama</w:t>
      </w:r>
      <w:r>
        <w:rPr/>
        <w:t xml:space="preserve"> 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 </w:t>
      </w:r>
      <w:r>
        <w:rPr>
          <w:i/>
          <w:iCs/>
        </w:rPr>
        <w:t>hystéra</w:t>
      </w:r>
      <w:r>
        <w:rPr/>
        <w:t>,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rPr/>
      </w:pPr>
      <w:r>
        <w:rPr/>
        <w:drawing>
          <wp:inline distT="0" distB="0" distL="0" distR="0">
            <wp:extent cx="5039995" cy="374396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039995" cy="3743960"/>
                    </a:xfrm>
                    <a:prstGeom prst="rect">
                      <a:avLst/>
                    </a:prstGeom>
                  </pic:spPr>
                </pic:pic>
              </a:graphicData>
            </a:graphic>
          </wp:inline>
        </w:drawing>
      </w:r>
    </w:p>
    <w:p>
      <w:pPr>
        <w:pStyle w:val="Piedefigura"/>
        <w:rPr/>
      </w:pPr>
      <w:r>
        <w:rPr>
          <w:b/>
          <w:bCs/>
        </w:rPr>
        <w:t>Figura 5.</w:t>
      </w:r>
      <w:r>
        <w:rPr/>
        <w:t xml:space="preserve"> </w:t>
      </w:r>
      <w:r>
        <w:rPr>
          <w:i/>
          <w:iCs/>
        </w:rPr>
        <w:t>Pelvis telúrica / Pachamama sorda</w:t>
      </w:r>
      <w:r>
        <w:rPr/>
        <w:t>. Esquema de encaje del pastel al óleo. Fuente: elaboración propia con asistencia de IA.</w:t>
      </w:r>
    </w:p>
    <w:p>
      <w:pPr>
        <w:pStyle w:val="BodyText"/>
        <w:rPr/>
      </w:pPr>
      <w:r>
        <w:rPr>
          <w:b/>
          <w:bCs/>
        </w:rPr>
        <w:t xml:space="preserve">Figura 6. </w:t>
      </w:r>
      <w:r>
        <w:rPr>
          <w:b/>
          <w:bCs/>
          <w:i/>
          <w:iCs/>
        </w:rPr>
        <w:t>El centinela de la resistencia</w:t>
      </w:r>
      <w:r>
        <w:rPr>
          <w:b/>
          <w:bCs/>
        </w:rPr>
        <w:t>.</w:t>
      </w:r>
      <w:r>
        <w:rPr/>
        <w:t xml:space="preserve"> (1) </w:t>
      </w:r>
      <w:r>
        <w:rPr>
          <w:i/>
          <w:iCs/>
        </w:rPr>
        <w:t>Texto</w:t>
      </w:r>
      <w:r>
        <w:rP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 </w:t>
      </w:r>
      <w:r>
        <w:rPr>
          <w:i/>
          <w:iCs/>
        </w:rPr>
        <w:t>Operación</w:t>
      </w:r>
      <w:r>
        <w:rP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 </w:t>
      </w:r>
      <w:r>
        <w:rPr>
          <w:i/>
          <w:iCs/>
        </w:rPr>
        <w:t>Contraste</w:t>
      </w:r>
      <w:r>
        <w:rPr/>
        <w:t xml:space="preserve">. El narrador llama a los vigías «cancerberos» y «muertos en vida» (ibid.), pero también «celadores y enfermeros» (ibid.: 79). El esquema los traza como mojones, una decisión que el aymara respalda y el texto no. </w:t>
      </w:r>
      <w:r>
        <w:rPr>
          <w:i/>
          <w:iCs/>
        </w:rPr>
        <w:t>Achachi</w:t>
      </w:r>
      <w:r>
        <w:rPr/>
        <w:t xml:space="preserve">, que el glosario traduce por «anciano» (ibid.: 160), es también «la cepa de una casa o familia» y el «término o mojón de las tierras» (Bertonio, 2011 [1612]: 307). Y </w:t>
      </w:r>
      <w:r>
        <w:rPr>
          <w:i/>
          <w:iCs/>
        </w:rPr>
        <w:t>saywa</w:t>
      </w:r>
      <w:r>
        <w:rPr/>
        <w:t>,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ins w:id="49" w:author="Unknown Author" w:date="2026-10-10T17:23:57Z">
        <w:r>
          <w:rPr/>
          <w:t xml:space="preserve"> Son lo que Fuão llama la figura de la espera, la que «aguarda y guarda» (Fuão, 2011: 65).</w:t>
        </w:r>
      </w:ins>
    </w:p>
    <w:p>
      <w:pPr>
        <w:pStyle w:val="Figura"/>
        <w:rPr/>
      </w:pPr>
      <w:r>
        <w:rPr/>
        <w:drawing>
          <wp:inline distT="0" distB="0" distL="0" distR="0">
            <wp:extent cx="3839845" cy="576008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839845" cy="5760085"/>
                    </a:xfrm>
                    <a:prstGeom prst="rect">
                      <a:avLst/>
                    </a:prstGeom>
                  </pic:spPr>
                </pic:pic>
              </a:graphicData>
            </a:graphic>
          </wp:inline>
        </w:drawing>
      </w:r>
    </w:p>
    <w:p>
      <w:pPr>
        <w:pStyle w:val="Piedefigura"/>
        <w:rPr/>
      </w:pPr>
      <w:r>
        <w:rPr>
          <w:b/>
          <w:bCs/>
        </w:rPr>
        <w:t>Figura 6.</w:t>
      </w:r>
      <w:r>
        <w:rPr/>
        <w:t xml:space="preserve"> </w:t>
      </w:r>
      <w:r>
        <w:rPr>
          <w:i/>
          <w:iCs/>
        </w:rPr>
        <w:t>El centinela de la resistencia: los tres vigías del ayllu vacío</w:t>
      </w:r>
      <w:r>
        <w:rPr/>
        <w:t>. Esquema de encaje del pastel al óleo. Fuente: elaboración propia con asistencia de IA.</w:t>
      </w:r>
      <w:bookmarkEnd w:id="7"/>
    </w:p>
    <w:p>
      <w:pPr>
        <w:pStyle w:val="Heading2"/>
        <w:rPr/>
      </w:pPr>
      <w:bookmarkStart w:id="8" w:name="Xd33dadc6dc41c4f190a3160c8a87a45b956b4eb"/>
      <w:r>
        <w:rPr/>
        <w:t>7. El retorno: reparar la casa, elegir la memoria</w:t>
      </w:r>
    </w:p>
    <w:p>
      <w:pPr>
        <w:pStyle w:val="FirstParagraph"/>
        <w:rPr/>
      </w:pPr>
      <w:r>
        <w:rPr/>
        <w:t xml:space="preserve">Con las heladas vuelven los sobrevivientes: «en el dintel de Jatun-Kolla se detenían para ponerse de rodillas y besar el suelo que habían abandonado en el terror» (Botelho Gosálvez, 1982 [1945]: 155). El ayllu tiene dintel: es una casa. </w:t>
      </w:r>
      <w:ins w:id="50" w:author="Unknown Author" w:date="2026-10-10T17:23:57Z">
        <w:r>
          <w:rPr/>
          <w:t xml:space="preserve">Volver es también juntar lo disperso: las familias llegan «de los cuatro rumbos de la pampa» (ibid.: 155), y la palabra </w:t>
        </w:r>
      </w:ins>
      <w:ins w:id="51" w:author="Unknown Author" w:date="2026-10-10T17:23:57Z">
        <w:r>
          <w:rPr>
            <w:i/>
            <w:iCs/>
          </w:rPr>
          <w:t>cola</w:t>
        </w:r>
      </w:ins>
      <w:ins w:id="52" w:author="Unknown Author" w:date="2026-10-10T17:23:57Z">
        <w:r>
          <w:rPr/>
          <w:t xml:space="preserve">, escribe Fuão, conserva en todos sus derivados el sentido de lo que «aglutina, reúne, lo que fue disperso» (Fuão, 2011: 81). </w:t>
        </w:r>
      </w:ins>
      <w:r>
        <w:rPr/>
        <w:t>Han muerto más de ciento cincuenta comunarios (</w:t>
      </w:r>
      <w:ins w:id="53" w:author="Unknown Author" w:date="2026-10-10T17:23:57Z">
        <w:r>
          <w:rPr/>
          <w:t>Botelho Gosálvez, 1982 [1945]</w:t>
        </w:r>
      </w:ins>
      <w:del w:id="54" w:author="Unknown Author" w:date="2026-10-10T17:23:57Z">
        <w:r>
          <w:rPr/>
          <w:delText>ibid.</w:delText>
        </w:r>
      </w:del>
      <w:r>
        <w:rPr/>
        <w:t xml:space="preserve">: 156). Reparar es un trabajo de manos y de piedra: «Las chujllas fueron reparadas del estrago, las pircas de piedra que separan las parcelas fueron compuestas» (ibid.). </w:t>
      </w:r>
      <w:r>
        <w:rPr>
          <w:i/>
          <w:iCs/>
        </w:rPr>
        <w:t>Compuestas</w:t>
      </w:r>
      <w:r>
        <w:rPr/>
        <w:t xml:space="preserve">: la palabra que los tratados de arquitectura reservaban al arquitecto vuelve aquí como faena comunal. Recomponer la pirca es volver a amojonar, lo que el aymara llama </w:t>
      </w:r>
      <w:r>
        <w:rPr>
          <w:i/>
          <w:iCs/>
        </w:rPr>
        <w:t>saywaña</w:t>
      </w:r>
      <w:r>
        <w:rPr/>
        <w:t xml:space="preserve">: «mojonar las chácaras con montones de piedra» (Bertonio, 2011 [1612]: 466). Alexander define la propiedad por el control, no por el dinero, y pide «el poder legal y la oportunidad física de modificar y reparar sus propios lugares» (Alexander et al., 1977: 395). La novela las separa: el poder, en los papeles; la oportunidad, en las manos. </w:t>
      </w:r>
      <w:ins w:id="55" w:author="Unknown Author" w:date="2026-10-10T17:23:57Z">
        <w:r>
          <w:rPr/>
          <w:t xml:space="preserve">Reparar a la vez la casa y el lindero es lo que Alexander pide a todo el que construye: «reparar el mundo a su alrededor, y dentro de él» (Alexander et al., 1977: xiii). </w:t>
        </w:r>
      </w:ins>
      <w:r>
        <w:rPr/>
        <w:t>En Umacachi, la ordenanza se llevó los bueyes de los Villca, que se lamentaban: «Y ni siquiera tenemos una yunta» (Botelho Gosálvez, 1982 [1945]: 105). Al volver, sin yuntas, «los mismos hombres eran quienes tiraban el arado» (ibid.: 156). El cuerpo ocupa el lugar del buey</w:t>
      </w:r>
      <w:ins w:id="56" w:author="Unknown Author" w:date="2026-10-10T17:23:57Z">
        <w:r>
          <w:rPr/>
          <w:t xml:space="preserve">, y recuerda: al volver a la casa antigua, escribe Bachelard, «los gestos más finos, los gestos primeros, son súbitamente vivos, siempre perfectos», porque «la casa natal ha inscrito en nosotros la jerarquía de las diversas funciones del habitar» (Bachelard, 1983 [1957]: 45, cit. en Monteys y Fuertes, 2001: 42). </w:t>
        </w:r>
      </w:ins>
      <w:del w:id="57" w:author="Unknown Author" w:date="2026-10-10T17:23:57Z">
        <w:r>
          <w:rPr/>
          <w:delText xml:space="preserve">. </w:delText>
        </w:r>
      </w:del>
      <w:r>
        <w:rPr/>
        <w:t>Y el narrador vuelve a convertirlos en piedra: trabajan «con una voluntad de siglos de piedra» (</w:t>
      </w:r>
      <w:ins w:id="58" w:author="Unknown Author" w:date="2026-10-10T17:23:57Z">
        <w:r>
          <w:rPr/>
          <w:t>Botelho Gosálvez, 1982 [1945]: 156</w:t>
        </w:r>
      </w:ins>
      <w:del w:id="59" w:author="Unknown Author" w:date="2026-10-10T17:23:57Z">
        <w:r>
          <w:rPr/>
          <w:delText>ibid.</w:delText>
        </w:r>
      </w:del>
      <w:r>
        <w:rPr/>
        <w:t xml:space="preserve">), una piedra fuera de la historia, no la </w:t>
      </w:r>
      <w:r>
        <w:rPr>
          <w:i/>
          <w:iCs/>
        </w:rPr>
        <w:t>wank’a</w:t>
      </w:r>
      <w:r>
        <w:rPr/>
        <w:t xml:space="preserve"> con dueño y con lugar.</w:t>
      </w:r>
    </w:p>
    <w:p>
      <w:pPr>
        <w:pStyle w:val="BodyText"/>
        <w:rPr/>
      </w:pPr>
      <w:r>
        <w:rPr/>
        <w:t>La memoria se construye igual que la casa. Cada uno guarda sus padecimientos «con el mismo pudor de los ex carcelados», y la memoria «no recordaba sino lo pasado antiguo, lo bueno y lo alegre de las cosechas» (ibid.):</w:t>
      </w:r>
    </w:p>
    <w:p>
      <w:pPr>
        <w:pStyle w:val="BlockText"/>
        <w:rPr/>
      </w:pPr>
      <w:r>
        <w:rPr/>
        <w:t>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rPr/>
      </w:pPr>
      <w:r>
        <w:rPr/>
        <w:t xml:space="preserve">Muralla, foso, atalaya: recordar es construir, y olvidar también (Figura 7). </w:t>
      </w:r>
      <w:ins w:id="60" w:author="Unknown Author" w:date="2026-10-10T17:23:57Z">
        <w:r>
          <w:rPr/>
          <w:t xml:space="preserve">Fuão describe ese olvido como el trabajo de la cola: crea «la ilusión de integridad», «no cura ni salva, solo cierra la boca de los abismos» (Fuão, 2011: 88); y el tiempo, añade, es la más potente de las colas, porque «cierra cicatrices» (ibid.: 91). </w:t>
        </w:r>
      </w:ins>
      <w:r>
        <w:rPr/>
        <w:t>Es lo contrario del lema del epígrafe: los comunarios de la novela no caminan mirando al pasado; lo esconden en un foso. La selección tiene nombres: «Llegaron los Villca, los Huanca, los Huallpa, los Yupanqui, los Ticona, los Choque, los Chuquihuanca» (</w:t>
      </w:r>
      <w:ins w:id="61" w:author="Unknown Author" w:date="2026-10-10T17:23:57Z">
        <w:r>
          <w:rPr/>
          <w:t>Botelho Gosálvez, 1982 [1945]</w:t>
        </w:r>
      </w:ins>
      <w:del w:id="62" w:author="Unknown Author" w:date="2026-10-10T17:23:57Z">
        <w:r>
          <w:rPr/>
          <w:delText>ibid.</w:delText>
        </w:r>
      </w:del>
      <w:r>
        <w:rPr/>
        <w:t xml:space="preserve">: 156). Faltan los Condori, los Mamani y los Quispe, la «legión» sin tierra que cerraba la escalera del narrador (ibid.: 22). El Signo Escalonado se rehace sin su último escalón. </w:t>
      </w:r>
      <w:ins w:id="63" w:author="Unknown Author" w:date="2026-10-10T17:23:57Z">
        <w:r>
          <w:rPr/>
          <w:t xml:space="preserve">Si, como concluyen Monteys y Fuertes, las personas «son la casa» (Monteys y Fuertes, 2001: 148), el ayllu se rehace incompleto. </w:t>
        </w:r>
      </w:ins>
      <w:r>
        <w:rPr/>
        <w:t>Una pirca de doble cara enseña lo que esa memoria olvida: las piedras grandes dan la cara, pero adentro van las menudas, y sin ese relleno el muro se cae. El narrador también llama «legión» a la «piedrecilla menuda» que baja del cerro hasta las pircas (</w:t>
      </w:r>
      <w:ins w:id="64" w:author="Unknown Author" w:date="2026-10-10T17:23:57Z">
        <w:r>
          <w:rPr/>
          <w:t>Botelho Gosálvez, 1982 [1945]</w:t>
        </w:r>
      </w:ins>
      <w:del w:id="65" w:author="Unknown Author" w:date="2026-10-10T17:23:57Z">
        <w:r>
          <w:rPr/>
          <w:delText>ibid.</w:delText>
        </w:r>
      </w:del>
      <w:r>
        <w:rPr/>
        <w:t xml:space="preserve">: 8). Los sin tierra fueron ese relleno: tres de ellos, sin nombre, cuidaron el ayllu vacío, y el retorno no los cuenta. Con la cosecha, los derrotados «olvidaron la pesadilla pasada» (ibid.: 159). Endurecerse para no sufrir la pérdida tiene nombre en aymara: </w:t>
      </w:r>
      <w:r>
        <w:rPr>
          <w:i/>
          <w:iCs/>
        </w:rPr>
        <w:t>qalachuyma</w:t>
      </w:r>
      <w:r>
        <w:rPr/>
        <w:t xml:space="preserve">, «corazón de piedra»; en un relato de Spedding, para volverse así «hay que lamer el batán de moler» (Spedding, 2025: XV). Contra el susto, la piedra se usa al revés: se come el bezoar del yatiri, en aymara </w:t>
      </w:r>
      <w:r>
        <w:rPr>
          <w:i/>
          <w:iCs/>
        </w:rPr>
        <w:t>jayintilla</w:t>
      </w:r>
      <w:r>
        <w:rPr/>
        <w:t xml:space="preserve"> (Bertonio, 2011 [1612]: 361), o la tierra del lugar del miedo, para «retornar al territorio y a la memoria» (Rodríguez y Rodríguez, 2025: 55). Los comunarios besan el suelo, pero no vuelven a la memoria. La paz se paga con ese olvido.</w:t>
      </w:r>
    </w:p>
    <w:p>
      <w:pPr>
        <w:pStyle w:val="Figura"/>
        <w:rPr/>
      </w:pPr>
      <w:r>
        <w:rPr/>
        <w:drawing>
          <wp:inline distT="0" distB="0" distL="0" distR="0">
            <wp:extent cx="5039995" cy="323977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039995" cy="3239770"/>
                    </a:xfrm>
                    <a:prstGeom prst="rect">
                      <a:avLst/>
                    </a:prstGeom>
                  </pic:spPr>
                </pic:pic>
              </a:graphicData>
            </a:graphic>
          </wp:inline>
        </w:drawing>
      </w:r>
    </w:p>
    <w:p>
      <w:pPr>
        <w:pStyle w:val="Piedefigura"/>
        <w:rPr/>
      </w:pPr>
      <w:r>
        <w:rPr>
          <w:b/>
          <w:bCs/>
        </w:rPr>
        <w:t>Figura 7.</w:t>
      </w:r>
      <w:r>
        <w:rPr/>
        <w:t xml:space="preserve"> </w:t>
      </w:r>
      <w:r>
        <w:rPr>
          <w:i/>
          <w:iCs/>
        </w:rPr>
        <w:t>La memoria del retorno</w:t>
      </w:r>
      <w:r>
        <w:rPr/>
        <w:t>. Diagrama. Fuente: elaboración propia con asistencia de IA.</w:t>
      </w:r>
    </w:p>
    <w:p>
      <w:pPr>
        <w:pStyle w:val="BodyText"/>
        <w:rPr/>
      </w:pPr>
      <w:bookmarkStart w:id="9" w:name="Xd33dadc6dc41c4f190a3160c8a87a45b956b4eb"/>
      <w:r>
        <w:rPr/>
        <w:t>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bookmarkEnd w:id="9"/>
    </w:p>
    <w:p>
      <w:pPr>
        <w:pStyle w:val="Heading2"/>
        <w:rPr/>
      </w:pPr>
      <w:bookmarkStart w:id="10" w:name="X6513926464102a35f22aafc801b0596a5c3805e"/>
      <w:r>
        <w:rPr/>
        <w:t>8. Conclusiones: lo que muestra el dibujo y sus límites</w:t>
      </w:r>
    </w:p>
    <w:p>
      <w:pPr>
        <w:pStyle w:val="FirstParagraph"/>
        <w:rPr/>
      </w:pPr>
      <w:r>
        <w:rPr/>
        <w:t>La lectura permite sostener cuatro hallazgos. Primero: el montón de piedras es la arquitectura mínima de la novela, masa sin edificio, y la cosecha de estaño que promete el capataz (Botelho Gosálvez, 1982 [1945]: 142) es la captura de ese gesto por la máquina (Figura 8).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Figura"/>
        <w:rPr/>
      </w:pPr>
      <w:r>
        <w:rPr/>
        <w:drawing>
          <wp:inline distT="0" distB="0" distL="0" distR="0">
            <wp:extent cx="4338320" cy="612013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4338320" cy="6120130"/>
                    </a:xfrm>
                    <a:prstGeom prst="rect">
                      <a:avLst/>
                    </a:prstGeom>
                  </pic:spPr>
                </pic:pic>
              </a:graphicData>
            </a:graphic>
          </wp:inline>
        </w:drawing>
      </w:r>
    </w:p>
    <w:p>
      <w:pPr>
        <w:pStyle w:val="Piedefigura"/>
        <w:rPr/>
      </w:pPr>
      <w:r>
        <w:rPr>
          <w:b/>
          <w:bCs/>
        </w:rPr>
        <w:t>Figura 8.</w:t>
      </w:r>
      <w:r>
        <w:rPr/>
        <w:t xml:space="preserve"> </w:t>
      </w:r>
      <w:r>
        <w:rPr>
          <w:i/>
          <w:iCs/>
        </w:rPr>
        <w:t>Tres montones</w:t>
      </w:r>
      <w:r>
        <w:rPr/>
        <w:t>. Diagrama. Fuente: elaboración propia con asistencia de IA.</w:t>
      </w:r>
    </w:p>
    <w:p>
      <w:pPr>
        <w:pStyle w:val="BodyText"/>
        <w:rPr/>
      </w:pPr>
      <w:r>
        <w:rP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w:t>
      </w:r>
      <w:ins w:id="66" w:author="Unknown Author" w:date="2026-10-10T17:23:57Z">
        <w:r>
          <w:rPr/>
          <w:t xml:space="preserve">Fuão lo dice de la tijera y de la cola: esos instrumentos y materiales «no son neutros» (Fuão, 2011: 8). </w:t>
        </w:r>
      </w:ins>
      <w:r>
        <w:rPr/>
        <w:t>Leer con la mano no es solo ilustrar escenas, sino repetir operaciones: un manuaje de la lectura, táctil como la prosa que lee.</w:t>
      </w:r>
    </w:p>
    <w:p>
      <w:pPr>
        <w:pStyle w:val="BodyText"/>
        <w:rPr/>
      </w:pPr>
      <w:r>
        <w:rPr/>
        <w:t xml:space="preserve">El trabajo tiene tres límites. El primero es el que advertía Hall: el corte, el </w:t>
      </w:r>
      <w:r>
        <w:rPr>
          <w:i/>
          <w:iCs/>
        </w:rPr>
        <w:t>capriccio</w:t>
      </w:r>
      <w:r>
        <w:rPr/>
        <w:t>, Bacon, la tectónica, Alexander</w:t>
      </w:r>
      <w:ins w:id="67" w:author="Unknown Author" w:date="2026-10-10T17:23:57Z">
        <w:r>
          <w:rPr/>
          <w:t>, la collage</w:t>
        </w:r>
      </w:ins>
      <w:r>
        <w:rPr/>
        <w:t xml:space="preserve">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rPr/>
      </w:pPr>
      <w:r>
        <w:rP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w:t>
      </w:r>
      <w:ins w:id="68" w:author="Unknown Author" w:date="2026-10-10T17:23:57Z">
        <w:r>
          <w:rPr/>
          <w:t xml:space="preserve">como una </w:t>
        </w:r>
      </w:ins>
      <w:ins w:id="69" w:author="Unknown Author" w:date="2026-10-10T17:23:57Z">
        <w:r>
          <w:rPr>
            <w:i/>
            <w:iCs/>
          </w:rPr>
          <w:t>décollage</w:t>
        </w:r>
      </w:ins>
      <w:ins w:id="70" w:author="Unknown Author" w:date="2026-10-10T17:23:57Z">
        <w:r>
          <w:rPr/>
          <w:t xml:space="preserve"> que despega lo que la memoria pegó, </w:t>
        </w:r>
      </w:ins>
      <w:r>
        <w:rPr/>
        <w:t xml:space="preserve">puede impedir que el foso se cierre. Si en Jatun-Kolla habitar es despejar piedras, leer </w:t>
      </w:r>
      <w:r>
        <w:rPr>
          <w:i/>
          <w:iCs/>
        </w:rPr>
        <w:t>Altiplano</w:t>
      </w:r>
      <w:r>
        <w:rPr/>
        <w:t xml:space="preserve"> con la mano es, quizá, volver a amontonarlas para ver qué queda debajo.</w:t>
      </w:r>
      <w:bookmarkEnd w:id="10"/>
    </w:p>
    <w:p>
      <w:pPr>
        <w:pStyle w:val="Heading2"/>
        <w:rPr/>
      </w:pPr>
      <w:bookmarkStart w:id="11" w:name="declaraciones-finales"/>
      <w:r>
        <w:rPr/>
        <w:t>Declaraciones finales</w:t>
      </w:r>
    </w:p>
    <w:p>
      <w:pPr>
        <w:pStyle w:val="FirstParagraph"/>
        <w:rPr/>
      </w:pPr>
      <w:r>
        <w:rPr>
          <w:b/>
          <w:bCs/>
        </w:rPr>
        <w:t>Conflicto de intereses.</w:t>
      </w:r>
      <w:r>
        <w:rPr/>
        <w:t xml:space="preserve"> El autor declara no tener conflictos de intereses.</w:t>
      </w:r>
    </w:p>
    <w:p>
      <w:pPr>
        <w:pStyle w:val="BodyText"/>
        <w:rPr/>
      </w:pPr>
      <w:r>
        <w:rPr>
          <w:b/>
          <w:bCs/>
        </w:rPr>
        <w:t>Declaración de uso de inteligencia artificial.</w:t>
      </w:r>
      <w:r>
        <w:rPr/>
        <w:t xml:space="preserve"> a) </w:t>
      </w:r>
      <w:r>
        <w:rPr>
          <w:i/>
          <w:iCs/>
        </w:rPr>
        <w:t>Herramientas</w:t>
      </w:r>
      <w:r>
        <w:rPr/>
        <w:t xml:space="preserve">: Claude (Anthropic) y ChatGPT (OpenAI), asistentes de IA generativa. b) </w:t>
      </w:r>
      <w:r>
        <w:rPr>
          <w:i/>
          <w:iCs/>
        </w:rPr>
        <w:t>Alcance</w:t>
      </w:r>
      <w:r>
        <w:rPr/>
        <w:t xml:space="preserve">: se emplearon en la exploración bibliográfica, la transcripción y paginación de fuentes digitalizadas, la localización y el cotejo de citas con su página, el contraste de pasajes de la novela, la revisión conceptual y la redacción de borradores, y el diseño y trazado de los esquemas de encaje (figuras 1-6) y de los diagramas (figuras 7 y 8). c) </w:t>
      </w:r>
      <w:r>
        <w:rPr>
          <w:i/>
          <w:iCs/>
        </w:rPr>
        <w:t>Rol</w:t>
      </w:r>
      <w:r>
        <w:rPr/>
        <w:t>: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bookmarkEnd w:id="11"/>
    </w:p>
    <w:p>
      <w:pPr>
        <w:pStyle w:val="Heading2"/>
        <w:rPr/>
      </w:pPr>
      <w:bookmarkStart w:id="12" w:name="bibliografía"/>
      <w:r>
        <w:rPr/>
        <w:t>Bibliografía</w:t>
      </w:r>
    </w:p>
    <w:p>
      <w:pPr>
        <w:pStyle w:val="FirstParagraph"/>
        <w:rPr/>
      </w:pPr>
      <w:r>
        <w:rPr/>
        <w:t xml:space="preserve">Alexander, Christopher; Ishikawa, Sara y Silverstein, Murray (1977). </w:t>
      </w:r>
      <w:r>
        <w:rPr>
          <w:i/>
          <w:iCs/>
        </w:rPr>
        <w:t>A Pattern Language. Towns, Buildings, Construction</w:t>
      </w:r>
      <w:r>
        <w:rPr/>
        <w:t>. Nueva York: Oxford University Press.</w:t>
      </w:r>
    </w:p>
    <w:p>
      <w:pPr>
        <w:pStyle w:val="BodyText"/>
        <w:rPr/>
      </w:pPr>
      <w:r>
        <w:rPr/>
        <w:t xml:space="preserve">Bachelard, Gaston (1978 [1942]). </w:t>
      </w:r>
      <w:r>
        <w:rPr>
          <w:i/>
          <w:iCs/>
        </w:rPr>
        <w:t>El agua y los sueños. Ensayo sobre la imaginación de la materia</w:t>
      </w:r>
      <w:r>
        <w:rPr/>
        <w:t>. México: Fondo de Cultura Económica.</w:t>
      </w:r>
    </w:p>
    <w:p>
      <w:pPr>
        <w:pStyle w:val="BodyText"/>
        <w:rPr>
          <w:ins w:id="74" w:author="Unknown Author" w:date="2026-10-10T17:23:57Z"/>
        </w:rPr>
      </w:pPr>
      <w:ins w:id="71" w:author="Unknown Author" w:date="2026-10-10T17:23:57Z">
        <w:r>
          <w:rPr/>
          <w:t xml:space="preserve">Bachelard, Gaston (1983 [1957]). </w:t>
        </w:r>
      </w:ins>
      <w:ins w:id="72" w:author="Unknown Author" w:date="2026-10-10T17:23:57Z">
        <w:r>
          <w:rPr>
            <w:i/>
            <w:iCs/>
          </w:rPr>
          <w:t>La poética del espacio</w:t>
        </w:r>
      </w:ins>
      <w:ins w:id="73" w:author="Unknown Author" w:date="2026-10-10T17:23:57Z">
        <w:r>
          <w:rPr/>
          <w:t>. México: Fondo de Cultura Económica.</w:t>
        </w:r>
      </w:ins>
    </w:p>
    <w:p>
      <w:pPr>
        <w:pStyle w:val="BodyText"/>
        <w:rPr/>
      </w:pPr>
      <w:r>
        <w:rPr/>
        <w:t xml:space="preserve">Barnadas, Josep M. (1978 [1975]). </w:t>
      </w:r>
      <w:r>
        <w:rPr>
          <w:i/>
          <w:iCs/>
        </w:rPr>
        <w:t>Apuntes para una historia aymara</w:t>
      </w:r>
      <w:r>
        <w:rPr/>
        <w:t>. 2.ª ed. La Paz: CIPCA (Cuadernos de Investigación, 6).</w:t>
      </w:r>
    </w:p>
    <w:p>
      <w:pPr>
        <w:pStyle w:val="BodyText"/>
        <w:rPr/>
      </w:pPr>
      <w:r>
        <w:rPr/>
        <w:t xml:space="preserve">Bertonio, Ludovico (2011 [1612]). </w:t>
      </w:r>
      <w:r>
        <w:rPr>
          <w:i/>
          <w:iCs/>
        </w:rPr>
        <w:t>Transcripción del vocabulario de la lengua aymara</w:t>
      </w:r>
      <w:r>
        <w:rPr/>
        <w:t>. La Paz: Radio San Gabriel (1993) e ILLA-A (ed. digital).</w:t>
      </w:r>
    </w:p>
    <w:p>
      <w:pPr>
        <w:pStyle w:val="BodyText"/>
        <w:rPr/>
      </w:pPr>
      <w:r>
        <w:rPr/>
        <w:t xml:space="preserve">Botelho Gosálvez, Raúl (1982 [1945]). </w:t>
      </w:r>
      <w:r>
        <w:rPr>
          <w:i/>
          <w:iCs/>
        </w:rPr>
        <w:t>Altiplano</w:t>
      </w:r>
      <w:r>
        <w:rPr/>
        <w:t>. 7.ª ed. La Paz: Librería Editorial Juventud.</w:t>
      </w:r>
    </w:p>
    <w:p>
      <w:pPr>
        <w:pStyle w:val="BodyText"/>
        <w:rPr/>
      </w:pPr>
      <w:r>
        <w:rPr/>
        <w:t xml:space="preserve">Cárcamo Pino, Mauricio Arnoldo (2019). “Thinking and Intelligence in the Architectural Design. A Review from Language, Graphuage and Manuage”. En Carlos Luis Marcos Alba (ed.), </w:t>
      </w:r>
      <w:r>
        <w:rPr>
          <w:i/>
          <w:iCs/>
        </w:rPr>
        <w:t>Graphic Imprints. The Influence of Representation and Ideation Tools in Architecture. EGA 2018</w:t>
      </w:r>
      <w:r>
        <w:rPr/>
        <w:t>. Cham: Springer: 1411-1423.</w:t>
      </w:r>
    </w:p>
    <w:p>
      <w:pPr>
        <w:pStyle w:val="BodyText"/>
        <w:rPr/>
      </w:pPr>
      <w:r>
        <w:rPr/>
        <w:t xml:space="preserve">Cárcamo Pino, Mauricio Arnoldo (2025a). “Madera, herramientas y manuaje. Notas para una ontología evolutiva del diseñar”. </w:t>
      </w:r>
      <w:r>
        <w:rPr>
          <w:i/>
          <w:iCs/>
        </w:rPr>
        <w:t>Revista Arteoficio</w:t>
      </w:r>
      <w:r>
        <w:rPr/>
        <w:t>, 21: 5-12. https://doi.org/10.35588/nn3v3487</w:t>
      </w:r>
    </w:p>
    <w:p>
      <w:pPr>
        <w:pStyle w:val="BodyText"/>
        <w:rPr/>
      </w:pPr>
      <w:r>
        <w:rPr/>
        <w:t xml:space="preserve">Cárcamo Pino, Mauricio Arnoldo (2025b). “Oralitura/literatura y manuaje/lenguaje: una revisión por reescritura”. </w:t>
      </w:r>
      <w:r>
        <w:rPr>
          <w:i/>
          <w:iCs/>
        </w:rPr>
        <w:t>Revista Chilena de Literatura</w:t>
      </w:r>
      <w:r>
        <w:rPr/>
        <w:t>, 112: 233-264.</w:t>
      </w:r>
    </w:p>
    <w:p>
      <w:pPr>
        <w:pStyle w:val="BodyText"/>
        <w:rPr/>
      </w:pPr>
      <w:r>
        <w:rPr/>
        <w:t xml:space="preserve">Choque Canqui, Roberto (1978 [1974]). “Prólogo”. En Josep M. Barnadas, </w:t>
      </w:r>
      <w:r>
        <w:rPr>
          <w:i/>
          <w:iCs/>
        </w:rPr>
        <w:t>Apuntes para una historia aymara</w:t>
      </w:r>
      <w:r>
        <w:rPr/>
        <w:t>. 2.ª ed. La Paz: CIPCA: s. p.</w:t>
      </w:r>
    </w:p>
    <w:p>
      <w:pPr>
        <w:pStyle w:val="BodyText"/>
        <w:rPr/>
      </w:pPr>
      <w:r>
        <w:rPr/>
        <w:t xml:space="preserve">Cornejo Polar, Antonio (2003 [1994]). </w:t>
      </w:r>
      <w:r>
        <w:rPr>
          <w:i/>
          <w:iCs/>
        </w:rPr>
        <w:t>Escribir en el aire. Ensayo sobre la heterogeneidad socio-cultural en las literaturas andinas</w:t>
      </w:r>
      <w:r>
        <w:rPr/>
        <w:t>. 2.ª ed. Lima y Berkeley: CELACP y Latinoamericana Editores.</w:t>
      </w:r>
    </w:p>
    <w:p>
      <w:pPr>
        <w:pStyle w:val="BodyText"/>
        <w:rPr/>
      </w:pPr>
      <w:r>
        <w:rPr/>
        <w:t xml:space="preserve">Dean, Carolyn (2010). </w:t>
      </w:r>
      <w:r>
        <w:rPr>
          <w:i/>
          <w:iCs/>
        </w:rPr>
        <w:t>A Culture of Stone: Inka Perspectives on Rock</w:t>
      </w:r>
      <w:r>
        <w:rPr/>
        <w:t>. Durham y Londres: Duke University Press.</w:t>
      </w:r>
    </w:p>
    <w:p>
      <w:pPr>
        <w:pStyle w:val="BodyText"/>
        <w:rPr/>
      </w:pPr>
      <w:r>
        <w:rPr/>
        <w:t xml:space="preserve">Duviols, Pierre (1979). “Un symbolisme de l’occupation, de l’aménagement et de l’exploitation de l’espace: le monolithe «huanca» et sa fonction dans les Andes préhispaniques”. </w:t>
      </w:r>
      <w:r>
        <w:rPr>
          <w:i/>
          <w:iCs/>
        </w:rPr>
        <w:t>L’Homme</w:t>
      </w:r>
      <w:r>
        <w:rPr/>
        <w:t>, 19(2): 7-31.</w:t>
      </w:r>
    </w:p>
    <w:p>
      <w:pPr>
        <w:pStyle w:val="BodyText"/>
        <w:rPr/>
      </w:pPr>
      <w:r>
        <w:rPr/>
        <w:t xml:space="preserve">Frampton, Kenneth (1995). </w:t>
      </w:r>
      <w:r>
        <w:rPr>
          <w:i/>
          <w:iCs/>
        </w:rPr>
        <w:t>Studies in Tectonic Culture: The Poetics of Construction in Nineteenth and Twentieth Century Architecture</w:t>
      </w:r>
      <w:r>
        <w:rPr/>
        <w:t>. Ed. John Cava. Cambridge, MA y Londres: MIT Press.</w:t>
      </w:r>
    </w:p>
    <w:p>
      <w:pPr>
        <w:pStyle w:val="BodyText"/>
        <w:rPr>
          <w:ins w:id="78" w:author="Unknown Author" w:date="2026-10-10T17:23:57Z"/>
        </w:rPr>
      </w:pPr>
      <w:ins w:id="75" w:author="Unknown Author" w:date="2026-10-10T17:23:57Z">
        <w:r>
          <w:rPr/>
          <w:t xml:space="preserve">Fuão, Fernando Freitas (2011). </w:t>
        </w:r>
      </w:ins>
      <w:ins w:id="76" w:author="Unknown Author" w:date="2026-10-10T17:23:57Z">
        <w:r>
          <w:rPr>
            <w:i/>
            <w:iCs/>
          </w:rPr>
          <w:t>A collage como trajetória amorosa</w:t>
        </w:r>
      </w:ins>
      <w:ins w:id="77" w:author="Unknown Author" w:date="2026-10-10T17:23:57Z">
        <w:r>
          <w:rPr/>
          <w:t>. Porto Alegre: Editora da UFRGS.</w:t>
        </w:r>
      </w:ins>
    </w:p>
    <w:p>
      <w:pPr>
        <w:pStyle w:val="BodyText"/>
        <w:rPr/>
      </w:pPr>
      <w:r>
        <w:rPr/>
        <w:t xml:space="preserve">Garrington, Abbie (2013). </w:t>
      </w:r>
      <w:r>
        <w:rPr>
          <w:i/>
          <w:iCs/>
        </w:rPr>
        <w:t>Haptic Modernism: Touch and the Tactile in Modernist Writing</w:t>
      </w:r>
      <w:r>
        <w:rPr/>
        <w:t>. Edimburgo: Edinburgh University Press.</w:t>
      </w:r>
    </w:p>
    <w:p>
      <w:pPr>
        <w:pStyle w:val="BodyText"/>
        <w:rPr/>
      </w:pPr>
      <w:r>
        <w:rPr/>
        <w:t xml:space="preserve">Hall, Edward T. (1973 [1966]). </w:t>
      </w:r>
      <w:r>
        <w:rPr>
          <w:i/>
          <w:iCs/>
        </w:rPr>
        <w:t>La dimensión oculta: enfoque antropológico del uso del espacio</w:t>
      </w:r>
      <w:r>
        <w:rPr/>
        <w:t>. Madrid: Instituto de Estudios de Administración Local.</w:t>
      </w:r>
    </w:p>
    <w:p>
      <w:pPr>
        <w:pStyle w:val="BodyText"/>
        <w:rPr/>
      </w:pPr>
      <w:r>
        <w:rPr/>
        <w:t xml:space="preserve">Ingold, Tim (2013). </w:t>
      </w:r>
      <w:r>
        <w:rPr>
          <w:i/>
          <w:iCs/>
        </w:rPr>
        <w:t>Making: Anthropology, Archaeology, Art and Architecture</w:t>
      </w:r>
      <w:r>
        <w:rPr/>
        <w:t>. Londres y Nueva York: Routledge.</w:t>
      </w:r>
    </w:p>
    <w:p>
      <w:pPr>
        <w:pStyle w:val="BodyText"/>
        <w:rPr/>
      </w:pPr>
      <w:r>
        <w:rPr/>
        <w:t>Le Guin, Ursula K. (2021 [1986]). “La teoría de la bolsa de transporte de la ficción”. Trad. Kamen Nedev y José Pérez de Lama. Biblioteca Anarquista. https://es.theanarchistlibrary.org</w:t>
      </w:r>
    </w:p>
    <w:p>
      <w:pPr>
        <w:pStyle w:val="BodyText"/>
        <w:rPr/>
      </w:pPr>
      <w:r>
        <w:rPr/>
        <w:t xml:space="preserve">Lundberg, Simon (2019). </w:t>
      </w:r>
      <w:r>
        <w:rPr>
          <w:i/>
          <w:iCs/>
        </w:rPr>
        <w:t>Architecture as Image</w:t>
      </w:r>
      <w:r>
        <w:rPr/>
        <w:t>. Proyecto de grado en Arquitectura, nivel avanzado. Estocolmo: KTH, TRITA-ABE-MBT-19132.</w:t>
      </w:r>
    </w:p>
    <w:p>
      <w:pPr>
        <w:pStyle w:val="BodyText"/>
        <w:rPr/>
      </w:pPr>
      <w:r>
        <w:rPr/>
        <w:t xml:space="preserve">Martin, Richard (2014). </w:t>
      </w:r>
      <w:r>
        <w:rPr>
          <w:i/>
          <w:iCs/>
        </w:rPr>
        <w:t>The Architecture of David Lynch</w:t>
      </w:r>
      <w:r>
        <w:rPr/>
        <w:t>. Londres y Nueva York: Bloomsbury Academic.</w:t>
      </w:r>
    </w:p>
    <w:p>
      <w:pPr>
        <w:pStyle w:val="BodyText"/>
        <w:rPr>
          <w:ins w:id="82" w:author="Unknown Author" w:date="2026-10-10T17:23:57Z"/>
        </w:rPr>
      </w:pPr>
      <w:ins w:id="79" w:author="Unknown Author" w:date="2026-10-10T17:23:57Z">
        <w:r>
          <w:rPr/>
          <w:t xml:space="preserve">Monteys, Xavier y Fuertes, Pere (2001). </w:t>
        </w:r>
      </w:ins>
      <w:ins w:id="80" w:author="Unknown Author" w:date="2026-10-10T17:23:57Z">
        <w:r>
          <w:rPr>
            <w:i/>
            <w:iCs/>
          </w:rPr>
          <w:t>Casa collage. Un ensayo sobre la arquitectura de la casa</w:t>
        </w:r>
      </w:ins>
      <w:ins w:id="81" w:author="Unknown Author" w:date="2026-10-10T17:23:57Z">
        <w:r>
          <w:rPr/>
          <w:t>. Barcelona: Gustavo Gili.</w:t>
        </w:r>
      </w:ins>
    </w:p>
    <w:p>
      <w:pPr>
        <w:pStyle w:val="BodyText"/>
        <w:rPr/>
      </w:pPr>
      <w:r>
        <w:rPr/>
        <w:t xml:space="preserve">Pallasmaa, Juhani (2014 [2011]). </w:t>
      </w:r>
      <w:r>
        <w:rPr>
          <w:i/>
          <w:iCs/>
        </w:rPr>
        <w:t>La imagen corpórea. Imaginación e imaginario en la arquitectura</w:t>
      </w:r>
      <w:r>
        <w:rPr/>
        <w:t>. Trad. Carles Muro. Barcelona: Gustavo Gili.</w:t>
      </w:r>
    </w:p>
    <w:p>
      <w:pPr>
        <w:pStyle w:val="BodyText"/>
        <w:rPr/>
      </w:pPr>
      <w:r>
        <w:rPr/>
        <w:t xml:space="preserve">Rivera Cusicanqui, Silvia (2010 [1984]). </w:t>
      </w:r>
      <w:r>
        <w:rPr>
          <w:i/>
          <w:iCs/>
        </w:rPr>
        <w:t>«Oprimidos pero no vencidos». Luchas del campesinado aymara y qhechwa 1900-1980</w:t>
      </w:r>
      <w:r>
        <w:rPr/>
        <w:t>. 4.ª ed. La Paz: WA-GUI.</w:t>
      </w:r>
    </w:p>
    <w:p>
      <w:pPr>
        <w:pStyle w:val="BodyText"/>
        <w:rPr/>
      </w:pPr>
      <w:r>
        <w:rPr/>
        <w:t xml:space="preserve">Rodríguez, Malena y Rodríguez, Gabriel (2025). “Susto andino y violencia política”. En Eloísa Paz y alfonso borragán (dirs.), </w:t>
      </w:r>
      <w:r>
        <w:rPr>
          <w:i/>
          <w:iCs/>
        </w:rPr>
        <w:t>Susto al susto</w:t>
      </w:r>
      <w:r>
        <w:rPr/>
        <w:t>. La Paz: A ediciones: 43-61.</w:t>
      </w:r>
    </w:p>
    <w:p>
      <w:pPr>
        <w:pStyle w:val="BodyText"/>
        <w:rPr/>
      </w:pPr>
      <w:r>
        <w:rPr/>
        <w:t xml:space="preserve">Scott, James C. (2020 [1998]). </w:t>
      </w:r>
      <w:r>
        <w:rPr>
          <w:i/>
          <w:iCs/>
        </w:rPr>
        <w:t>Seeing Like a State: How Certain Schemes to Improve the Human Condition Have Failed</w:t>
      </w:r>
      <w:r>
        <w:rPr/>
        <w:t>. New Haven y Londres: Yale University Press.</w:t>
      </w:r>
    </w:p>
    <w:p>
      <w:pPr>
        <w:pStyle w:val="BodyText"/>
        <w:rPr/>
      </w:pPr>
      <w:r>
        <w:rPr/>
        <w:t xml:space="preserve">Seguí de la Riva, Javier (2010). </w:t>
      </w:r>
      <w:r>
        <w:rPr>
          <w:i/>
          <w:iCs/>
        </w:rPr>
        <w:t>Ser dibujo</w:t>
      </w:r>
      <w:r>
        <w:rPr/>
        <w:t>. Madrid: Mairea Libros y Escuela Técnica Superior de Arquitectura de Madrid.</w:t>
      </w:r>
    </w:p>
    <w:p>
      <w:pPr>
        <w:pStyle w:val="BodyText"/>
        <w:rPr/>
      </w:pPr>
      <w:r>
        <w:rPr/>
        <w:t xml:space="preserve">Spedding, Alison (2025). “Piedras en el camino”. En Eloísa Paz y alfonso borragán (dirs.), </w:t>
      </w:r>
      <w:r>
        <w:rPr>
          <w:i/>
          <w:iCs/>
        </w:rPr>
        <w:t>Susto al susto</w:t>
      </w:r>
      <w:r>
        <w:rPr/>
        <w:t>. La Paz: A ediciones: XIII-XXIII.</w:t>
      </w:r>
    </w:p>
    <w:p>
      <w:pPr>
        <w:pStyle w:val="BodyText"/>
        <w:rPr/>
      </w:pPr>
      <w:r>
        <w:rPr/>
        <w:t xml:space="preserve">Vázquez Ramos, Fernando Guillermo; Dias Ribeiro, Carlos Eduardo; Quedas Campoy, Carlos y Ferreira de Paula, Franklin Roberto (2023). “Reflexões sobre a construção histórica do conceito de espaço: uma aproximação”. </w:t>
      </w:r>
      <w:r>
        <w:rPr>
          <w:i/>
          <w:iCs/>
        </w:rPr>
        <w:t>Risco. Revista de Pesquisa em Arquitetura e Urbanismo</w:t>
      </w:r>
      <w:r>
        <w:rPr/>
        <w:t>, 21: 1-18. https://doi.org/10.11606/1984-4506.risco.2023.187844</w:t>
      </w:r>
    </w:p>
    <w:p>
      <w:pPr>
        <w:pStyle w:val="BodyText"/>
        <w:spacing w:lineRule="auto" w:line="360" w:before="0" w:after="120"/>
        <w:rPr/>
      </w:pPr>
      <w:r>
        <w:rPr/>
        <w:t xml:space="preserve">Zavaleta Mercado, René (1986). </w:t>
      </w:r>
      <w:r>
        <w:rPr>
          <w:i/>
          <w:iCs/>
        </w:rPr>
        <w:t>Lo nacional-popular en Bolivia</w:t>
      </w:r>
      <w:r>
        <w:rPr/>
        <w:t>. México: Siglo XXI.</w:t>
      </w:r>
      <w:bookmarkEnd w:id="0"/>
      <w:bookmarkEnd w:id="12"/>
    </w:p>
    <w:sectPr>
      <w:footnotePr>
        <w:numFmt w:val="decimal"/>
        <w:numRestart w:val="eachSect"/>
      </w:footnotePr>
      <w:type w:val="nextPage"/>
      <w:pgSz w:w="12240" w:h="15840"/>
      <w:pgMar w:left="1417" w:right="1417" w:gutter="0" w:header="0" w:top="1417" w:footer="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rPr/>
      </w:pPr>
      <w:r>
        <w:rPr>
          <w:rStyle w:val="FootnoteCharacters"/>
        </w:rPr>
        <w:footnoteRef/>
      </w:r>
      <w:r>
        <w:rPr/>
        <w:t xml:space="preserve"> </w:t>
      </w:r>
      <w:r>
        <w:rPr/>
        <w:t>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3">
    <w:p>
      <w:pPr>
        <w:pStyle w:val="FootnoteText"/>
        <w:spacing w:lineRule="auto" w:line="240" w:before="0" w:after="40"/>
        <w:rPr/>
      </w:pPr>
      <w:r>
        <w:rPr>
          <w:rStyle w:val="FootnoteCharacters"/>
        </w:rPr>
        <w:footnoteRef/>
      </w:r>
      <w:r>
        <w:rPr/>
        <w:t xml:space="preserve"> </w:t>
      </w:r>
      <w:r>
        <w:rPr/>
        <w:t>Las traducciones de las citas en inglés, francés y portugués son nuestras.</w:t>
      </w:r>
    </w:p>
  </w:footnote>
  <w:footnote w:id="4">
    <w:p>
      <w:pPr>
        <w:pStyle w:val="FootnoteText"/>
        <w:spacing w:lineRule="auto" w:line="240" w:before="0" w:after="40"/>
        <w:rPr/>
      </w:pPr>
      <w:r>
        <w:rPr>
          <w:rStyle w:val="FootnoteCharacters"/>
        </w:rPr>
        <w:footnoteRef/>
      </w:r>
      <w:r>
        <w:rPr/>
        <w:t xml:space="preserve"> </w:t>
      </w:r>
      <w:r>
        <w:rPr/>
        <w:t xml:space="preserve">El pastel al óleo es pigmento unido con cera y aceite, y no llega a secar del todo: se puede empastar, arrastrar con el dedo, raspar con una punta hasta descubrir la capa de abajo (esgrafiado) o disolver con solvente. Por eso se trabaja sumando y quitando materia, como se limpia un campo, más que trazando líneas. Fernando Freitas Fuão describe la misma doble operación en la collage: «Si la cola añade, la </w:t>
      </w:r>
      <w:r>
        <w:rPr>
          <w:i/>
          <w:iCs/>
        </w:rPr>
        <w:t>décollage</w:t>
      </w:r>
      <w:r>
        <w:rPr/>
        <w:t xml:space="preserve"> suprime», y juntas «reduplican su significado» (Fuão, 2011: 43).</w:t>
      </w:r>
    </w:p>
  </w:footnote>
</w:footnotes>
</file>

<file path=word/settings.xml><?xml version="1.0" encoding="utf-8"?>
<w:settings xmlns:w="http://schemas.openxmlformats.org/wordprocessingml/2006/main">
  <w:zoom w:percent="100"/>
  <w:embedSystemFonts/>
  <w:defaultTabStop w:val="720"/>
  <w:autoHyphenation w:val="true"/>
  <w:footnotePr>
    <w:numFmt w:val="decimal"/>
    <w:numRestart w:val="eachSect"/>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360" w:before="240" w:after="120"/>
      <w:outlineLvl w:val="0"/>
    </w:pPr>
    <w:rPr>
      <w:rFonts w:ascii="Times New Roman" w:hAnsi="Times New Roman" w:eastAsia="Times New Roman" w:cs="Times New Roman"/>
      <w:b/>
      <w:i w:val="false"/>
      <w:sz w:val="24"/>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360" w:before="240" w:after="120"/>
      <w:outlineLvl w:val="1"/>
    </w:pPr>
    <w:rPr>
      <w:rFonts w:ascii="Times New Roman" w:hAnsi="Times New Roman" w:eastAsia="Times New Roman" w:cs="Times New Roman"/>
      <w:b/>
      <w:i w:val="false"/>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360" w:before="240" w:after="120"/>
      <w:outlineLvl w:val="2"/>
    </w:pPr>
    <w:rPr>
      <w:rFonts w:ascii="Times New Roman" w:hAnsi="Times New Roman" w:eastAsia="Times New Roman" w:cs="Times New Roman"/>
      <w:b/>
      <w:i w:val="false"/>
      <w:sz w:val="24"/>
      <w:szCs w:val="28"/>
    </w:rPr>
  </w:style>
  <w:style w:type="paragraph" w:styleId="Heading4">
    <w:name w:val="Heading 4"/>
    <w:basedOn w:val="Normal"/>
    <w:next w:val="BodyText"/>
    <w:link w:val="Heading4Char"/>
    <w:uiPriority w:val="9"/>
    <w:semiHidden/>
    <w:unhideWhenUsed/>
    <w:qFormat/>
    <w:rsid w:val="00a10fd9"/>
    <w:pPr>
      <w:keepNext w:val="true"/>
      <w:keepLines/>
      <w:spacing w:lineRule="auto" w:line="360" w:before="240" w:after="120"/>
      <w:outlineLvl w:val="3"/>
    </w:pPr>
    <w:rPr>
      <w:rFonts w:ascii="Times New Roman" w:hAnsi="Times New Roman" w:eastAsia="Times New Roman" w:cs="Times New Roman"/>
      <w:b/>
      <w:i w:val="false"/>
      <w:iCs/>
      <w:sz w:val="24"/>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60" w:after="240"/>
    </w:pPr>
    <w:rPr>
      <w:rFonts w:ascii="Times New Roman" w:hAnsi="Times New Roman" w:eastAsia="Times New Roman" w:cs="Times New Roman"/>
      <w:i w:val="false"/>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sz w:val="24"/>
    </w:rPr>
  </w:style>
  <w:style w:type="paragraph" w:styleId="Title">
    <w:name w:val="Title"/>
    <w:basedOn w:val="Normal"/>
    <w:next w:val="BodyText"/>
    <w:link w:val="TitleChar"/>
    <w:uiPriority w:val="10"/>
    <w:qFormat/>
    <w:rsid w:val="00a10fd9"/>
    <w:pPr>
      <w:spacing w:lineRule="auto" w:line="360" w:before="240" w:after="120"/>
      <w:contextualSpacing/>
      <w:jc w:val="center"/>
    </w:pPr>
    <w:rPr>
      <w:rFonts w:ascii="Times New Roman" w:hAnsi="Times New Roman" w:eastAsia="Times New Roman" w:cs="Times New Roman"/>
      <w:b/>
      <w:i w:val="false"/>
      <w:sz w:val="28"/>
      <w:szCs w:val="56"/>
    </w:rPr>
  </w:style>
  <w:style w:type="paragraph" w:styleId="Subtitle">
    <w:name w:val="Subtitle"/>
    <w:basedOn w:val="Title"/>
    <w:next w:val="BodyText"/>
    <w:link w:val="SubtitleChar"/>
    <w:uiPriority w:val="11"/>
    <w:qFormat/>
    <w:rsid w:val="00a10fd9"/>
    <w:pPr>
      <w:spacing w:lineRule="auto" w:line="360" w:before="240" w:after="120"/>
      <w:contextualSpacing/>
    </w:pPr>
    <w:rPr>
      <w:rFonts w:ascii="Times New Roman" w:hAnsi="Times New Roman" w:eastAsia="Times New Roman" w:cs="Times New Roman"/>
      <w:b/>
      <w:i w:val="false"/>
      <w:spacing w:val="15"/>
      <w:sz w:val="24"/>
      <w:szCs w:val="28"/>
    </w:rPr>
  </w:style>
  <w:style w:type="paragraph" w:styleId="Author" w:customStyle="1">
    <w:name w:val="Author"/>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Date">
    <w:name w:val="Date"/>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lineRule="auto" w:line="360" w:before="0" w:after="120"/>
    </w:pPr>
    <w:rPr>
      <w:rFonts w:ascii="Times New Roman" w:hAnsi="Times New Roman" w:eastAsia="Times New Roman" w:cs="Times New Roman"/>
      <w:sz w:val="24"/>
      <w:szCs w:val="20"/>
    </w:rPr>
  </w:style>
  <w:style w:type="paragraph" w:styleId="Bibliography">
    <w:name w:val="Bibliography"/>
    <w:basedOn w:val="Normal"/>
    <w:qFormat/>
    <w:pPr>
      <w:spacing w:lineRule="auto" w:line="360" w:before="0" w:after="120"/>
    </w:pPr>
    <w:rPr>
      <w:rFonts w:ascii="Times New Roman" w:hAnsi="Times New Roman" w:eastAsia="Times New Roman" w:cs="Times New Roman"/>
      <w:sz w:val="24"/>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sz w:val="24"/>
    </w:rPr>
  </w:style>
  <w:style w:type="paragraph" w:styleId="FootnoteText">
    <w:name w:val="Footnote Text"/>
    <w:basedOn w:val="Normal"/>
    <w:uiPriority w:val="9"/>
    <w:unhideWhenUsed/>
    <w:qFormat/>
    <w:pPr>
      <w:spacing w:lineRule="auto" w:line="240" w:before="0" w:after="40"/>
    </w:pPr>
    <w:rPr>
      <w:rFonts w:ascii="Times New Roman" w:hAnsi="Times New Roman" w:eastAsia="Times New Roman" w:cs="Times New Roman"/>
      <w:sz w:val="20"/>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lineRule="auto" w:line="360" w:before="0" w:after="120"/>
    </w:pPr>
    <w:rPr>
      <w:rFonts w:ascii="Times New Roman" w:hAnsi="Times New Roman" w:eastAsia="Times New Roman" w:cs="Times New Roman"/>
      <w:b/>
      <w:sz w:val="24"/>
    </w:rPr>
  </w:style>
  <w:style w:type="paragraph" w:styleId="Definition" w:customStyle="1">
    <w:name w:val="Definition"/>
    <w:basedOn w:val="Normal"/>
    <w:qFormat/>
    <w:pPr>
      <w:spacing w:lineRule="auto" w:line="360" w:before="0" w:after="120"/>
    </w:pPr>
    <w:rPr>
      <w:rFonts w:ascii="Times New Roman" w:hAnsi="Times New Roman" w:eastAsia="Times New Roman" w:cs="Times New Roman"/>
      <w:sz w:val="24"/>
    </w:rPr>
  </w:style>
  <w:style w:type="paragraph" w:styleId="TableCaption" w:customStyle="1">
    <w:name w:val="Table Caption"/>
    <w:basedOn w:val="Caption"/>
    <w:qFormat/>
    <w:pPr>
      <w:keepNext w:val="true"/>
      <w:spacing w:lineRule="auto" w:line="240" w:before="60" w:after="240"/>
    </w:pPr>
    <w:rPr>
      <w:rFonts w:ascii="Times New Roman" w:hAnsi="Times New Roman" w:eastAsia="Times New Roman" w:cs="Times New Roman"/>
      <w:i w:val="false"/>
      <w:sz w:val="20"/>
    </w:rPr>
  </w:style>
  <w:style w:type="paragraph" w:styleId="ImageCaption" w:customStyle="1">
    <w:name w:val="Image Caption"/>
    <w:basedOn w:val="Caption"/>
    <w:qFormat/>
    <w:pPr>
      <w:spacing w:lineRule="auto" w:line="240" w:before="60" w:after="240"/>
      <w:jc w:val="center"/>
    </w:pPr>
    <w:rPr>
      <w:rFonts w:ascii="Times New Roman" w:hAnsi="Times New Roman" w:eastAsia="Times New Roman" w:cs="Times New Roman"/>
      <w:i w:val="false"/>
      <w:sz w:val="20"/>
    </w:rPr>
  </w:style>
  <w:style w:type="paragraph" w:styleId="Figure" w:customStyle="1">
    <w:name w:val="Figure"/>
    <w:basedOn w:val="Normal"/>
    <w:qFormat/>
    <w:pPr>
      <w:spacing w:lineRule="auto" w:line="360" w:before="0" w:after="120"/>
      <w:jc w:val="center"/>
    </w:pPr>
    <w:rPr>
      <w:rFonts w:ascii="Times New Roman" w:hAnsi="Times New Roman" w:eastAsia="Times New Roman" w:cs="Times New Roman"/>
      <w:sz w:val="24"/>
    </w:rPr>
  </w:style>
  <w:style w:type="paragraph" w:styleId="CaptionedFigure" w:customStyle="1">
    <w:name w:val="Captioned Figure"/>
    <w:basedOn w:val="Figure"/>
    <w:qFormat/>
    <w:pPr>
      <w:keepNext w:val="true"/>
      <w:spacing w:lineRule="auto" w:line="360" w:before="0" w:after="120"/>
      <w:jc w:val="center"/>
    </w:pPr>
    <w:rPr>
      <w:rFonts w:ascii="Times New Roman" w:hAnsi="Times New Roman" w:eastAsia="Times New Roman" w:cs="Times New Roman"/>
      <w:sz w:val="24"/>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Figura" w:customStyle="1">
    <w:name w:val="Figura"/>
    <w:basedOn w:val="Normal"/>
    <w:qFormat/>
    <w:pPr>
      <w:keepNext w:val="true"/>
      <w:spacing w:lineRule="auto" w:line="240" w:before="240" w:after="60"/>
      <w:jc w:val="center"/>
    </w:pPr>
    <w:rPr>
      <w:rFonts w:ascii="Times New Roman" w:hAnsi="Times New Roman" w:eastAsia="Times New Roman" w:cs="Times New Roman"/>
      <w:i w:val="false"/>
      <w:sz w:val="24"/>
    </w:rPr>
  </w:style>
  <w:style w:type="paragraph" w:styleId="Piedefigura" w:customStyle="1">
    <w:name w:val="Pie de figura"/>
    <w:basedOn w:val="Normal"/>
    <w:qFormat/>
    <w:pPr>
      <w:keepNext w:val="false"/>
      <w:spacing w:lineRule="auto" w:line="240" w:before="60" w:after="240"/>
      <w:jc w:val="center"/>
    </w:pPr>
    <w:rPr>
      <w:rFonts w:ascii="Times New Roman" w:hAnsi="Times New Roman" w:eastAsia="Times New Roman" w:cs="Times New Roman"/>
      <w:i w:val="false"/>
      <w:sz w:val="20"/>
    </w:rPr>
  </w:style>
  <w:style w:type="paragraph" w:styleId="Epgrafe" w:customStyle="1">
    <w:name w:val="Epígrafe"/>
    <w:basedOn w:val="Normal"/>
    <w:qFormat/>
    <w:pPr>
      <w:spacing w:lineRule="auto" w:line="240" w:before="0" w:after="120"/>
      <w:ind w:left="3969"/>
    </w:pPr>
    <w:rPr>
      <w:rFonts w:ascii="Times New Roman" w:hAnsi="Times New Roman" w:eastAsia="Times New Roman" w:cs="Times New Roman"/>
      <w:i w:val="false"/>
      <w:sz w:val="22"/>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pPr>
      <w:spacing w:before="0" w:after="120" w:line="360" w:lineRule="auto"/>
    </w:pPr>
    <w:rPr>
      <w:sz w:val="24"/>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notes" Target="footnotes.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2026-10-10T17:20:29Z</dcterms:created>
  <dc:creator/>
  <dc:description/>
  <dc:language>en-US</dc:language>
  <cp:lastModifiedBy/>
  <dcterms:modified xsi:type="dcterms:W3CDTF">2026-10-10T17:23:58Z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