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La misma palabra nombra la piedra que se saca del campo y la que sujeta el techo.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Esa nota invita a leer la novela como documento y como redención; aquí no se sigue ninguna de las dos lecturas.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no es la excepción.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Hay tres razones para hacerlo así.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En ese recorrido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«esencialmente moderno y, como tal, movedizo y, sobre todo,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pero sin oponerlas al papel.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y cada oficio tiene su</w:t>
      </w:r>
      <w:r>
        <w:t xml:space="preserve"> </w:t>
      </w:r>
      <w:r>
        <w:rPr>
          <w:i/>
          <w:iCs/>
        </w:rPr>
        <w:t xml:space="preserve">manoaje</w:t>
      </w:r>
      <w: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w:t>
      </w:r>
      <w:r>
        <w:t xml:space="preserve"> </w:t>
      </w:r>
      <w:r>
        <w:rPr>
          <w:i/>
          <w:iCs/>
        </w:rPr>
        <w:t xml:space="preserve">Altiplano</w:t>
      </w:r>
      <w:r>
        <w:t xml:space="preserve"> </w:t>
      </w:r>
      <w:r>
        <w:t xml:space="preserve">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Falta decir qué dibujo se usa, porque 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los datos del texto (lugar, materia, medida, luz, color) en una «biblioteca de observaciones» (ibid.: 15); aquí, un fichero de pasajes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 Los dos primeros pasos se hacen sobre el texto; los dos últimos, en el pastel.</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lo que se sabe por el tacto, el movimiento, la posición del cuerpo y el equilibrio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y para Cárcamo Pino una caja de herramientas es a las manos lo que un idioma es a la lengua (Cárcamo Pino, 2025a: 12). El narrador, en cambio, entra como un intruso que no habita, sino que escribe: los camastros son «morada de piojos y pulgas» (Botelho Gosálvez, 1982 [1945]: 31). Para Gaston Bachelard, el nido, «una cosa precaria», hace soñar con la seguridad (Bachelard, 1994 [1958]: 102, cit. en Martin, 2014: 71). Para el narrador, la chujlla es una madriguera. Su umbral es el «portal de su chujlla» desde el que Paulo Huanca ve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(ibid.: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tomada de Bachelard, no un hallazgo.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donde se detiene el narrador: en el alma de los comunarios, porque «en su secreto, nadie podía entrar»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signo no es una jerarquía fija, sino un mecanismo que vuelve a escalonar a la gente en cada lugar; y el mito y el mapa no se oponen, porque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 Es el espacio de los papeles en su versión de pueblo.</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terminan en las fincas del Alcalde. La novela encuentra la imagen exacta: por aquel «embudo» entraron los animales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Conviene mirar las manos.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junta el peso del libro, un argumento tramposo, el buen juicio del personaje y la coerción.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La aldea termina su obra. 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pPr>
      <w:r>
        <w:t xml:space="preserve">Del otro lado, el cuerpo del puneño pierde su oficio. Lo que saben sus manos no sirve allí: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hasta alcanzar un árbol «en la otra orilla» (ibid.: 121). Es una arquitectura de manos.</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Formato vertical.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 La montaña de piedras que los comunarios soñaban más alta que el cerro (Botelho Gosálvez, 1982 [1945]: 9) crece, pero como desmonte: el cascote se sube «a la superficie» (ibid.: 144).</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La llanura sin límites se vuelve una jaula, y el cerco se cerrará sobre un hombre.</w:t>
      </w:r>
    </w:p>
    <w:p>
      <w:pPr>
        <w:pStyle w:val="BodyText"/>
      </w:pPr>
      <w: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Falta, además, la fuerza animal.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que abre este artículo: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Con la cosecha, los derrotados «olvidaron la pesadilla pasada», y la Pachamama recuperó «su prestigio de hembra paridora y múltiple» (ibid.: 159). La paz se paga con ese olvido.</w:t>
      </w:r>
    </w:p>
    <w:p>
      <w:pPr>
        <w:pStyle w:val="BodyText"/>
      </w:pPr>
      <w:r>
        <w:t xml:space="preserve">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pesebre fue tumba, y el ayllu reparado deja fuera a los sin tierra.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los sueños que el narrador declara inaccesibles.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(1994 [1958]).</w:t>
      </w:r>
      <w:r>
        <w:t xml:space="preserve"> </w:t>
      </w:r>
      <w:r>
        <w:rPr>
          <w:i/>
          <w:iCs/>
        </w:rPr>
        <w:t xml:space="preserve">The Poetics of Space</w:t>
      </w:r>
      <w:r>
        <w:t xml:space="preserve">. Trad. Maria Jolas. Boston: Beacon Press.</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2026-09-26T22:30:47Z</dcterms:created>
  <dcterms:modified xsi:type="dcterms:W3CDTF">2026-09-26T22:30:47Z</dcterms:modified>
</cp:coreProperties>
</file>

<file path=docProps/custom.xml><?xml version="1.0" encoding="utf-8"?>
<Properties xmlns="http://schemas.openxmlformats.org/officeDocument/2006/custom-properties" xmlns:vt="http://schemas.openxmlformats.org/officeDocument/2006/docPropsVTypes"/>
</file>