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b77f2b31b346d0baf66ecb196d493a47741f34c"/>
    <w:p>
      <w:pPr>
        <w:pStyle w:val="Heading1"/>
      </w:pPr>
      <w:r>
        <w:t xml:space="preserve">La cosecha de piedras: dibujar el habitar en</w:t>
      </w:r>
      <w:r>
        <w:t xml:space="preserve"> </w:t>
      </w:r>
      <w:r>
        <w:rPr>
          <w:i/>
          <w:iCs/>
        </w:rPr>
        <w:t xml:space="preserve">Altiplano</w:t>
      </w:r>
      <w:r>
        <w:t xml:space="preserve"> </w:t>
      </w:r>
      <w:r>
        <w:t xml:space="preserve">de Botelho Gosálvez</w:t>
      </w:r>
    </w:p>
    <w:p>
      <w:pPr>
        <w:pStyle w:val="FirstParagraph"/>
      </w:pPr>
      <w:r>
        <w:rPr>
          <w:b/>
          <w:bCs/>
        </w:rPr>
        <w:t xml:space="preserve">The Harvest of Stones: Drawing Dwelling in Botelho Gosálvez’s</w:t>
      </w:r>
      <w:r>
        <w:rPr>
          <w:b/>
          <w:bCs/>
        </w:rPr>
        <w:t xml:space="preserve"> </w:t>
      </w:r>
      <w:r>
        <w:rPr>
          <w:b/>
          <w:bCs/>
          <w:i/>
          <w:iCs/>
        </w:rPr>
        <w:t xml:space="preserve">Altiplano</w:t>
      </w:r>
    </w:p>
    <w:p>
      <w:pPr>
        <w:pStyle w:val="BodyText"/>
      </w:pPr>
      <w:r>
        <w:t xml:space="preserve">⟦Nombre y apellidos del autor o autora⟧</w:t>
      </w:r>
      <w:r>
        <w:rPr>
          <w:rStyle w:val="FootnoteReference"/>
        </w:rPr>
        <w:footnoteReference w:id="9"/>
      </w:r>
    </w:p>
    <w:p>
      <w:pPr>
        <w:pStyle w:val="BodyText"/>
      </w:pPr>
      <w:r>
        <w:rPr>
          <w:b/>
          <w:bCs/>
        </w:rPr>
        <w:t xml:space="preserve">Resumen</w:t>
      </w:r>
    </w:p>
    <w:p>
      <w:pPr>
        <w:pStyle w:val="BodyText"/>
      </w:pPr>
      <w:r>
        <w:t xml:space="preserve">Avance de una investigación en desarrollo, el artículo relee</w:t>
      </w:r>
      <w:r>
        <w:t xml:space="preserve"> </w:t>
      </w:r>
      <w:r>
        <w:rPr>
          <w:i/>
          <w:iCs/>
        </w:rPr>
        <w:t xml:space="preserve">Altiplano</w:t>
      </w:r>
      <w:r>
        <w:t xml:space="preserve"> </w:t>
      </w:r>
      <w:r>
        <w:t xml:space="preserve">(1945), de Raúl Botelho Gosálvez, desde su «cosecha de piedras». Cruza la crítica histórica del concepto de espacio, el manuaje, la lectura arquitectónica de la ficción de Richard Martin y el método de Simon Lundberg, y propone seis pasteles al óleo como instrumentos de lectura. Sostiene que la novela piensa el habitar como manipulación de la piedra, el despojo como su captura por una red de personas, papeles y máquinas, y la memoria como reparación selectiva del lugar; y que su narrador, al denunciar, también petrifica a quienes describe.</w:t>
      </w:r>
    </w:p>
    <w:p>
      <w:pPr>
        <w:pStyle w:val="BodyText"/>
      </w:pPr>
      <w:r>
        <w:rPr>
          <w:b/>
          <w:bCs/>
        </w:rPr>
        <w:t xml:space="preserve">Palabras clave:</w:t>
      </w:r>
      <w:r>
        <w:t xml:space="preserve"> </w:t>
      </w:r>
      <w:r>
        <w:t xml:space="preserve">Botelho Gosálvez;</w:t>
      </w:r>
      <w:r>
        <w:t xml:space="preserve"> </w:t>
      </w:r>
      <w:r>
        <w:rPr>
          <w:i/>
          <w:iCs/>
        </w:rPr>
        <w:t xml:space="preserve">Altiplano</w:t>
      </w:r>
      <w:r>
        <w:t xml:space="preserve">; espacialidad literaria; manuaje; dibujo como investigación.</w:t>
      </w:r>
    </w:p>
    <w:p>
      <w:pPr>
        <w:pStyle w:val="BodyText"/>
      </w:pPr>
      <w:r>
        <w:rPr>
          <w:b/>
          <w:bCs/>
        </w:rPr>
        <w:t xml:space="preserve">Abstract</w:t>
      </w:r>
    </w:p>
    <w:p>
      <w:pPr>
        <w:pStyle w:val="BodyText"/>
      </w:pPr>
      <w:r>
        <w:t xml:space="preserve">Part of an ongoing research project, this article rereads</w:t>
      </w:r>
      <w:r>
        <w:t xml:space="preserve"> </w:t>
      </w:r>
      <w:r>
        <w:rPr>
          <w:i/>
          <w:iCs/>
        </w:rPr>
        <w:t xml:space="preserve">Altiplano</w:t>
      </w:r>
      <w:r>
        <w:t xml:space="preserve"> </w:t>
      </w:r>
      <w:r>
        <w:t xml:space="preserve">(1945), by Raúl Botelho Gosálvez, through its</w:t>
      </w:r>
      <w:r>
        <w:t xml:space="preserve"> </w:t>
      </w:r>
      <w:r>
        <w:t xml:space="preserve">“harvest of stones”</w:t>
      </w:r>
      <w:r>
        <w:t xml:space="preserve">. It brings together the historical critique of the concept of space, manuage, Richard Martin’s architectural reading of fiction and Simon Lundberg’s drawing method, and proposes six oil pastels as reading instruments. It argues that the novel conceives dwelling as the handling of stone, dispossession as the capture of that handling by a network of people, papers and machines, and memory as a selective repair of place; and that its narrator, while denouncing, also petrifies the people portrayed.</w:t>
      </w:r>
    </w:p>
    <w:p>
      <w:pPr>
        <w:pStyle w:val="BodyText"/>
      </w:pPr>
      <w:r>
        <w:rPr>
          <w:b/>
          <w:bCs/>
        </w:rPr>
        <w:t xml:space="preserve">Keywords:</w:t>
      </w:r>
      <w:r>
        <w:t xml:space="preserve"> </w:t>
      </w:r>
      <w:r>
        <w:t xml:space="preserve">Botelho Gosálvez;</w:t>
      </w:r>
      <w:r>
        <w:t xml:space="preserve"> </w:t>
      </w:r>
      <w:r>
        <w:rPr>
          <w:i/>
          <w:iCs/>
        </w:rPr>
        <w:t xml:space="preserve">Altiplano</w:t>
      </w:r>
      <w:r>
        <w:t xml:space="preserve">; literary spatiality; manuage; drawing as research.</w:t>
      </w:r>
    </w:p>
    <w:bookmarkStart w:id="11" w:name="X94b173b7fb504ed78693e654fa32ba243fe5226"/>
    <w:p>
      <w:pPr>
        <w:pStyle w:val="Heading2"/>
      </w:pPr>
      <w:r>
        <w:t xml:space="preserve">1. Introducción: la cosecha de piedras y la anatomía del habitar</w:t>
      </w:r>
    </w:p>
    <w:p>
      <w:pPr>
        <w:pStyle w:val="FirstParagraph"/>
      </w:pPr>
      <w:r>
        <w:t xml:space="preserve">En Jatun-Kolla, el ayllu aymara que Raúl Botelho Gosálvez asienta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paradoja es exacta: lo cosechado es el obstáculo; la tierra</w:t>
      </w:r>
      <w:r>
        <w:t xml:space="preserve"> </w:t>
      </w:r>
      <w:r>
        <w:rPr>
          <w:i/>
          <w:iCs/>
        </w:rPr>
        <w:t xml:space="preserve">pare</w:t>
      </w:r>
      <w:r>
        <w:t xml:space="preserve"> </w:t>
      </w:r>
      <w:r>
        <w:t xml:space="preserve">lo que impide sembrar; la utopía del ayllu tiene forma de montón. El primer gesto del habitar no es construir, sino despejar, y su producto es un residuo que cambia de oficio. Con esas piedras se hicieron «los cimientos y paredes de las chujllas» (ibid.: 8); con ellas cubre Juan Condori a su compañera, muerta tras abortar en una cuneta: «amontonó piedras sobre el cadáver» (ibid.: 35); en la mina, el mismo Condori acarrea «grandes montones de cascotes» (ibid.: 144) hasta que un derrumbe lo sepulta bajo «un informe montón de rocas, lodo y maderos astillados» (ibid.: 154); al final, los sobrevivientes recomponen las pircas (ibid.: 156). Pirca, casa, tumba, escombro: el montón es la arquitectura mínima de</w:t>
      </w:r>
      <w:r>
        <w:t xml:space="preserve"> </w:t>
      </w:r>
      <w:r>
        <w:rPr>
          <w:i/>
          <w:iCs/>
        </w:rPr>
        <w:t xml:space="preserve">Altiplano</w:t>
      </w:r>
      <w:r>
        <w:t xml:space="preserve">, aquella en que habitar y enterrar se vuelven indiscernibles. Adolf Loos concedía al arte una parte ínfima de la arquitectura —el sepulcro y el monumento— y la ilustraba con un túmulo hallado en el bosque, ante el cual algo nos dice que allí yace alguien (Loos, 1972 [1910]). La novela llega a un lugar semejante por la vía del trabajo.</w:t>
      </w:r>
    </w:p>
    <w:p>
      <w:pPr>
        <w:pStyle w:val="BodyText"/>
      </w:pPr>
      <w:r>
        <w:t xml:space="preserve">Nos preguntamos entonces: ¿qué saber sobre el habitar produce</w:t>
      </w:r>
      <w:r>
        <w:t xml:space="preserve"> </w:t>
      </w:r>
      <w:r>
        <w:rPr>
          <w:i/>
          <w:iCs/>
        </w:rPr>
        <w:t xml:space="preserve">Altiplano</w:t>
      </w:r>
      <w:r>
        <w:t xml:space="preserve"> </w:t>
      </w:r>
      <w:r>
        <w:t xml:space="preserve">cuando se la lee siguiendo sus piedras? Y, en el otro extremo del problema, ¿qué puede añadir a esa lectura un dibujo hecho con una materia —el pastel al óleo— que, como el comunario, trabaja acumulando y extrayendo? Sostenemos, a modo de hipótesis, que la novela piensa el habitar como manipulación de la piedra (despejar, amontonar, cercar, cubrir, excavar) y el despojo como la captura de esa manipulación por una red concreta de personas, instituciones, papeles y máquinas; y que el dibujo, al repetir con otra materia esas operaciones, permite someter a prueba tanto lo que la novela sabe como lo que su narrador impone.</w:t>
      </w:r>
    </w:p>
    <w:p>
      <w:pPr>
        <w:pStyle w:val="BodyText"/>
      </w:pPr>
      <w:r>
        <w:t xml:space="preserve">Porque hay un narrador, y no es inocente. Publicada en Buenos Aires en 1945,</w:t>
      </w:r>
      <w:r>
        <w:t xml:space="preserve"> </w:t>
      </w:r>
      <w:r>
        <w:rPr>
          <w:i/>
          <w:iCs/>
        </w:rPr>
        <w:t xml:space="preserve">Altiplano</w:t>
      </w:r>
      <w:r>
        <w:t xml:space="preserve"> </w:t>
      </w:r>
      <w:r>
        <w:t xml:space="preserve">circula en Bolivia desde 1982 con una nota editorial según la cual Jatun-Kolla «es, en realidad, Warisata» y su autor «ama al indio y desde temprana edad vivió preocupado y ocupado por contribuir a su redención» (Botelho Gosálvez, 1982 [1945]: 5). El paratexto pide dos lecturas, la documental y la redentora, que aquí declinamos: la novela es una representación mediada, cuyo narrador letrado denuncia el despojo feudal mientras animaliza, sexualiza y petrifica a quienes describe, y no un testimonio etnográfico. Ese narrador describe las casas como cuerpos —las chozas son «verrugas en la piel sarmentosa del altiplano» (ibid.: 10)— y los cuerpos como terrenos: un minero exhibe sus «pobres costillas zafadas como surcos» (ibid.: 145). Leer el habitar en</w:t>
      </w:r>
      <w:r>
        <w:t xml:space="preserve"> </w:t>
      </w:r>
      <w:r>
        <w:rPr>
          <w:i/>
          <w:iCs/>
        </w:rPr>
        <w:t xml:space="preserve">Altiplano</w:t>
      </w:r>
      <w:r>
        <w:t xml:space="preserve"> </w:t>
      </w:r>
      <w:r>
        <w:t xml:space="preserve">exige, pues, una anatomía, y el dibujo, como la disección, es uno de sus instrumentos.</w:t>
      </w:r>
    </w:p>
    <w:p>
      <w:pPr>
        <w:pStyle w:val="BodyText"/>
      </w:pPr>
      <w:r>
        <w:t xml:space="preserve">El cruce entre análisis literario, espacialidad crítica y dibujo tiene tres razones. La ficción es un archivo de saber espacial: nuestra cultura guarda «una comprensión espacial y arquitectónica sin explotar», cuyo sitio «está en sus ficciones» (Shonfield, 2000: 173, cit. en Martin, 2014: 7)</w:t>
      </w:r>
      <w:r>
        <w:rPr>
          <w:rStyle w:val="FootnoteReference"/>
        </w:rPr>
        <w:footnoteReference w:id="10"/>
      </w:r>
      <w:r>
        <w:t xml:space="preserve">, y en</w:t>
      </w:r>
      <w:r>
        <w:t xml:space="preserve"> </w:t>
      </w:r>
      <w:r>
        <w:rPr>
          <w:i/>
          <w:iCs/>
        </w:rPr>
        <w:t xml:space="preserve">Altiplano</w:t>
      </w:r>
      <w:r>
        <w:t xml:space="preserve">, como en el cine de Lynch, «la arquitectura es la historia» (Martin, 2014: 13): la trama avanza de la chujlla al pesebre, a la casucha y a la jaula. La crítica histórica del espacio prohíbe proyectar categorías del presente sobre una novela de 1945 y sobre el mundo aymara que representa; el dibujo, que debe decidir punto de vista, escala y límite, vuelve explícitas esas proyecciones. Y si dibujar es manuaje (Cárcamo Pino, 2025b: 244), dibujar una novela no es ilustrarla, sino leerla con otro órgano. El recorrido sigue una progresión de escalas —vivienda y ayllu (sección 3), aldea (4), éxodo (5), cuerpo (6) y retorno (7)—, no la cronología de la trama. Se trata de una investigación en desarrollo: los seis pasteles están en ejecución, y aquí se presentan su protocolo y las hipótesis que deberán confirmar o corregir.</w:t>
      </w:r>
    </w:p>
    <w:bookmarkEnd w:id="11"/>
    <w:bookmarkStart w:id="12" w:name="X713fac2515e54d183f2fd80c72ec66ccf1f380f"/>
    <w:p>
      <w:pPr>
        <w:pStyle w:val="Heading2"/>
      </w:pPr>
      <w:r>
        <w:t xml:space="preserve">2. Del espacio abstracto al manuaje de la lectura (marco teórico-metodológico)</w:t>
      </w:r>
    </w:p>
    <w:p>
      <w:pPr>
        <w:pStyle w:val="FirstParagraph"/>
      </w:pPr>
      <w:r>
        <w:t xml:space="preserve">Empecemos por una cautela. El espacio es un concepto moderno: lo formularon historiadores del arte entre 1893 y 1914, y los arquitectos solo lo adoptaron después de 1950. Es un tema «esencialmente moderno y, como tal, movedizo y, sobre todo, abstracto», que «no habla sobre la arquitectura, sino sobre nosotros»; un objeto puede analizarse «bajo la óptica del espacio», pero eso «no significa que haya sido concebido desde esa óptica» (Vázquez Ramos et al., 2023: 4). De ahí la advertencia de Edward T. Hall contra quienes «proyectan sobre el mundo visual del pasado las estructuras del mundo visual del presente» (Hall, 1973: 133, cit. en ibid.: 3). Vale dos veces para</w:t>
      </w:r>
      <w:r>
        <w:t xml:space="preserve"> </w:t>
      </w:r>
      <w:r>
        <w:rPr>
          <w:i/>
          <w:iCs/>
        </w:rPr>
        <w:t xml:space="preserve">Altiplano</w:t>
      </w:r>
      <w:r>
        <w:t xml:space="preserve">: para nosotros, que no debemos atribuir al ayllu una idea de espacio que la novela no formula —sus categorías son la piedra, la pirca, el mojón, el título—, y para su narrador, que proyecta sobre Jatun-Kolla la sociología de la ciudad: los Villca «son la burguesía usurpadora»; los Condori, Mamani y Quispe, «el proletariado campesino» (Botelho Gosálvez, 1982 [1945]: 22).</w:t>
      </w:r>
    </w:p>
    <w:p>
      <w:pPr>
        <w:pStyle w:val="BodyText"/>
      </w:pPr>
      <w:r>
        <w:t xml:space="preserve">La genealogía del concepto sirve, además, como instrumento. Alberti llamaba</w:t>
      </w:r>
      <w:r>
        <w:t xml:space="preserve"> </w:t>
      </w:r>
      <w:r>
        <w:rPr>
          <w:i/>
          <w:iCs/>
        </w:rPr>
        <w:t xml:space="preserve">área</w:t>
      </w:r>
      <w:r>
        <w:t xml:space="preserve"> </w:t>
      </w:r>
      <w:r>
        <w:t xml:space="preserve">a «un cierto espacio […] perfectamente delimitado», rodeado por un muro, y concebía el edificio como un cuerpo «compuesto por edificios menores, que son como sus miembros, unidos y articulados entre sí» (Alberti, 2011: 147, cit. en Vázquez Ramos et al., 2023: 5); la tradición posterior entendió la arquitectura como composición de partes y defendió su materia —muros, columnas, techos— hasta bien entrado el siglo XX (Vázquez Ramos et al., 2023: 5-8). Schmarsow invirtió el peso en 1893: de la caverna al Reichstag, todas las arquitecturas serían «construcciones espaciales (</w:t>
      </w:r>
      <w:r>
        <w:rPr>
          <w:i/>
          <w:iCs/>
        </w:rPr>
        <w:t xml:space="preserve">Raumgebilde</w:t>
      </w:r>
      <w:r>
        <w:t xml:space="preserve">)» (Schmarsow, 1994: 286, cit. en ibid.: 6), donde</w:t>
      </w:r>
      <w:r>
        <w:t xml:space="preserve"> </w:t>
      </w:r>
      <w:r>
        <w:rPr>
          <w:i/>
          <w:iCs/>
        </w:rPr>
        <w:t xml:space="preserve">Gebilde</w:t>
      </w:r>
      <w:r>
        <w:t xml:space="preserve">, de</w:t>
      </w:r>
      <w:r>
        <w:t xml:space="preserve"> </w:t>
      </w:r>
      <w:r>
        <w:rPr>
          <w:i/>
          <w:iCs/>
        </w:rPr>
        <w:t xml:space="preserve">bilden</w:t>
      </w:r>
      <w:r>
        <w:t xml:space="preserve">, significa «formación» (Vázquez Ramos et al., 2023: 6).</w:t>
      </w:r>
      <w:r>
        <w:t xml:space="preserve"> </w:t>
      </w:r>
      <w:r>
        <w:rPr>
          <w:i/>
          <w:iCs/>
        </w:rPr>
        <w:t xml:space="preserve">Altiplano</w:t>
      </w:r>
      <w:r>
        <w:t xml:space="preserve"> </w:t>
      </w:r>
      <w:r>
        <w:t xml:space="preserve">se sitúa del lado de Alberti: su mundo está hecho de partes —piedras, muros, miembros— y su violencia se ejerce contra la articulación de esas partes. Worringer da una clave para leer al narrador: en la abstracción geométrica, «la emancipación de la accidentalidad y temporalidad que rigen el panorama universal encuentra su expresión acabada» (Worringer, 1953: 56, cit. en ibid.: 7). Cuando el narrador atribuye a los comunarios un «organismo de piedra» o una «voluntad de siglos de piedra» (Botelho Gosálvez, 1982 [1945]: 133, 156), practica esa abstracción: los emancipa de la historia; los petrifica.</w:t>
      </w:r>
    </w:p>
    <w:p>
      <w:pPr>
        <w:pStyle w:val="BodyText"/>
      </w:pPr>
      <w:r>
        <w:t xml:space="preserve">La tríada de Henri Lefebvre ordena esta materia sin abstraerla: la</w:t>
      </w:r>
      <w:r>
        <w:t xml:space="preserve"> </w:t>
      </w:r>
      <w:r>
        <w:rPr>
          <w:i/>
          <w:iCs/>
        </w:rPr>
        <w:t xml:space="preserve">práctica espacial</w:t>
      </w:r>
      <w:r>
        <w:t xml:space="preserve"> </w:t>
      </w:r>
      <w:r>
        <w:t xml:space="preserve">(lo percibido); la</w:t>
      </w:r>
      <w:r>
        <w:t xml:space="preserve"> </w:t>
      </w:r>
      <w:r>
        <w:rPr>
          <w:i/>
          <w:iCs/>
        </w:rPr>
        <w:t xml:space="preserve">representación del espacio</w:t>
      </w:r>
      <w:r>
        <w:t xml:space="preserve"> </w:t>
      </w:r>
      <w:r>
        <w:t xml:space="preserve">de técnicos y arquitectos (lo concebido), «el espacio dominante en cualquier sociedad»; y el</w:t>
      </w:r>
      <w:r>
        <w:t xml:space="preserve"> </w:t>
      </w:r>
      <w:r>
        <w:rPr>
          <w:i/>
          <w:iCs/>
        </w:rPr>
        <w:t xml:space="preserve">espacio de representación</w:t>
      </w:r>
      <w:r>
        <w:t xml:space="preserve"> </w:t>
      </w:r>
      <w:r>
        <w:t xml:space="preserve">(lo vivido), «vivido directamente a través de sus imágenes y símbolos asociados» por habitantes, usuarios y algunos artistas y escritores (Lefebvre, 1991: 38-39, cit. en Vázquez Ramos et al., 2023: 13). En</w:t>
      </w:r>
      <w:r>
        <w:t xml:space="preserve"> </w:t>
      </w:r>
      <w:r>
        <w:rPr>
          <w:i/>
          <w:iCs/>
        </w:rPr>
        <w:t xml:space="preserve">Altiplano</w:t>
      </w:r>
      <w:r>
        <w:t xml:space="preserve">, lo percibido es despejar, arar, pastorear, emigrar; lo concebido, el título, el mojón, la ordenanza con su «radio urbano» (Botelho Gosálvez, 1982 [1945]: 96); lo vivido, el cerro que es «una especie de padre del ayllu» (ibid.: 8), la Pachamama, la apacheta, el Tío de la mina. La novela pertenece al tercer orden y describe los otros dos; el dibujo, también.</w:t>
      </w:r>
    </w:p>
    <w:p>
      <w:pPr>
        <w:pStyle w:val="BodyText"/>
      </w:pPr>
      <w:r>
        <w:t xml:space="preserve">¿Con qué leer, entonces? Con las manos, a condición de no oponerlas al papel. Mauricio Cárcamo Pino llama</w:t>
      </w:r>
      <w:r>
        <w:t xml:space="preserve"> </w:t>
      </w:r>
      <w:r>
        <w:rPr>
          <w:i/>
          <w:iCs/>
        </w:rPr>
        <w:t xml:space="preserve">manuaje</w:t>
      </w:r>
      <w:r>
        <w:t xml:space="preserve"> </w:t>
      </w:r>
      <w:r>
        <w:t xml:space="preserve">al conjunto de prácticas manuales que «se funda en la acción bimanual in-tensionada y los efectos de ello sobre la materia para comunicar (o autocomunicarse), expresar o inteligenciar» (Cárcamo Pino, 2019: 1412, cit. en Cárcamo Pino, 2025b: 244). No es solo «escribir, dibujar o hacer una maqueta en arquitectura», sino un «largo etcétera que incluye hacer malabares, cocinar, tocar piano o simplemente acariciar» (Cárcamo Pino, 2025b: 245, a partir de Salazar Sánchez y Cárcamo Pino, 2021: 1482). La escritura es una acción manugráfica más —«trazos (no solo texto) hechos en soporte gráfico, por la mano de Shakespeare» (Cárcamo Pino, 2025b: 257)—, y cada ámbito tiene su</w:t>
      </w:r>
      <w:r>
        <w:t xml:space="preserve"> </w:t>
      </w:r>
      <w:r>
        <w:rPr>
          <w:i/>
          <w:iCs/>
        </w:rPr>
        <w:t xml:space="preserve">manoaje</w:t>
      </w:r>
      <w:r>
        <w:t xml:space="preserve">, «un subgrupo contextual de acciones manuales» (ibid.: 259). La precisión evita la oposición maniquea entre la mano que ara y el papel que despoja, que en</w:t>
      </w:r>
      <w:r>
        <w:t xml:space="preserve"> </w:t>
      </w:r>
      <w:r>
        <w:rPr>
          <w:i/>
          <w:iCs/>
        </w:rPr>
        <w:t xml:space="preserve">Altiplano</w:t>
      </w:r>
      <w:r>
        <w:t xml:space="preserve"> </w:t>
      </w:r>
      <w:r>
        <w:t xml:space="preserve">enuncia el poder: los vecinos de Umacachi niegan la escuela a los hijos de los indios —«Que tiren palotes con el arado, esa resulta la más recomendable caligrafía para los indios» (Botelho Gosálvez, 1982 [1945]: 87)—. Repetir el binarismo sería repetir la lógica del pueblo. La cuestión es qué manoajes se autorizan y qué instituciones los respaldan; o, con la justicia epistémica que reclama Cárcamo Pino, qué prácticas corporales quedaron «minusvaloradas, invisibilizadas» por el «monopolio de la escritura y el lenguaje» (Cárcamo Pino, 2025b: 259).</w:t>
      </w:r>
    </w:p>
    <w:p>
      <w:pPr>
        <w:pStyle w:val="BodyText"/>
      </w:pPr>
      <w:r>
        <w:t xml:space="preserve">Dos corolarios. Si, como dice Alfonso Corona Martínez, «cada arquitectura lleva las marcas de los medios por los que ha sido proyectada» (Corona Martínez, 2009 [1990]: 50, cit. en Cárcamo Pino, 2025a: 12), la arquitectura del despojo llevará las del expediente, el sello y la firma, y la lectura dibujada, las del pastel. Y si, con Luigi Pareyson, crear «es formar y formar artísticamente,</w:t>
      </w:r>
      <w:r>
        <w:t xml:space="preserve"> </w:t>
      </w:r>
      <w:r>
        <w:t xml:space="preserve">“es un puro intentar”</w:t>
      </w:r>
      <w:r>
        <w:t xml:space="preserve"> </w:t>
      </w:r>
      <w:r>
        <w:t xml:space="preserve">sin norma previa y fruto de una acción formante que inventa</w:t>
      </w:r>
      <w:r>
        <w:t xml:space="preserve"> </w:t>
      </w:r>
      <w:r>
        <w:rPr>
          <w:i/>
          <w:iCs/>
        </w:rPr>
        <w:t xml:space="preserve">in situ</w:t>
      </w:r>
      <w:r>
        <w:t xml:space="preserve"> </w:t>
      </w:r>
      <w:r>
        <w:t xml:space="preserve">el modo de formar» (Pareyson, 2002: 18, cit. en Cárcamo Pino, 2025b: 246), ningún método es receta: lo que un pastel descubre no puede escribirse del todo antes de dibujarlo.</w:t>
      </w:r>
    </w:p>
    <w:p>
      <w:pPr>
        <w:pStyle w:val="BodyText"/>
      </w:pPr>
      <w:r>
        <w:t xml:space="preserve">El método necesita, con todo, una pauta. Simon Lundberg propone explorar la imagen arquitectónica «más allá del uso instrumental de la representación» en cuatro pasos: observación («representar edificios reales»), disección («desarmar y analizar»), ensamblaje («modificar, distorsionar, juntar») e inmersión («hacer creíble, animar») (Lundberg, 2019: 3). Adaptados a la lectura, cambian de objeto. La</w:t>
      </w:r>
      <w:r>
        <w:t xml:space="preserve"> </w:t>
      </w:r>
      <w:r>
        <w:rPr>
          <w:i/>
          <w:iCs/>
        </w:rPr>
        <w:t xml:space="preserve">observación</w:t>
      </w:r>
      <w:r>
        <w:t xml:space="preserve"> </w:t>
      </w:r>
      <w:r>
        <w:t xml:space="preserve">extrae coordenadas textuales —lugar, materia, medida, luz, color— hasta formar una «biblioteca de observaciones» (ibid.: 15): aquí, un fichero de pasajes con su página. La</w:t>
      </w:r>
      <w:r>
        <w:t xml:space="preserve"> </w:t>
      </w:r>
      <w:r>
        <w:rPr>
          <w:i/>
          <w:iCs/>
        </w:rPr>
        <w:t xml:space="preserve">disección</w:t>
      </w:r>
      <w:r>
        <w:t xml:space="preserve"> </w:t>
      </w:r>
      <w:r>
        <w:t xml:space="preserve">aísla las partes —«¿Qué son estos objetos? ¿Cuáles son sus agendas?» (ibid.: 18)— y las ordena en cuatro relaciones tectónicas: apoyo, vano, masa y límite (Cuadro 1). El</w:t>
      </w:r>
      <w:r>
        <w:t xml:space="preserve"> </w:t>
      </w:r>
      <w:r>
        <w:rPr>
          <w:i/>
          <w:iCs/>
        </w:rPr>
        <w:t xml:space="preserve">ensamblaje</w:t>
      </w:r>
      <w:r>
        <w:t xml:space="preserve"> </w:t>
      </w:r>
      <w:r>
        <w:t xml:space="preserve">las recompone como el</w:t>
      </w:r>
      <w:r>
        <w:t xml:space="preserve"> </w:t>
      </w:r>
      <w:r>
        <w:rPr>
          <w:i/>
          <w:iCs/>
        </w:rPr>
        <w:t xml:space="preserve">capriccio</w:t>
      </w:r>
      <w:r>
        <w:t xml:space="preserve"> </w:t>
      </w:r>
      <w:r>
        <w:t xml:space="preserve">de Canaletto, ciudad «completamente imaginaria» hecha con edificios de ciudades distintas (ibid.: 3). La</w:t>
      </w:r>
      <w:r>
        <w:t xml:space="preserve"> </w:t>
      </w:r>
      <w:r>
        <w:rPr>
          <w:i/>
          <w:iCs/>
        </w:rPr>
        <w:t xml:space="preserve">inmersión</w:t>
      </w:r>
      <w:r>
        <w:t xml:space="preserve"> </w:t>
      </w:r>
      <w:r>
        <w:t xml:space="preserve">produce atmósfera, pero no ha de confundirse «con el realismo visual» (ibid.: 21). Observación y disección se cumplen sobre el texto y ya se han realizado; ensamblaje e inmersión corresponden al pastel al óleo, pigmento en cera y aceite que no seca: se acumula, se funde con los dedos, se raspa, se disuelve. Cada figura se examina, pues, en tres planos: (1) lo que describe el texto; (2) la operación formal y matérica del pastel; y (3) el hallazgo que surge del contraste, formulado como hipótesis mientras los pasteles se completan.</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5.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r>
        <w:tc>
          <w:tcPr/>
          <w:p>
            <w:pPr>
              <w:pStyle w:val="Compact"/>
              <w:spacing w:line="240" w:lineRule="auto" w:after="40"/>
            </w:pPr>
            <w:r>
              <w:rPr>
                <w:rFonts w:ascii="Times New Roman" w:hAnsi="Times New Roman"/>
                <w:sz w:val="20"/>
              </w:rPr>
              <w:t xml:space="preserve">6.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bl>
    <w:p>
      <w:pPr>
        <w:pStyle w:val="BodyText"/>
      </w:pPr>
      <w:r>
        <w:t xml:space="preserve">Fuente: elaboración propia a partir de Botelho Gosálvez (1982 [1945]); entre paréntesis, páginas de la novela.</w:t>
      </w:r>
    </w:p>
    <w:bookmarkEnd w:id="12"/>
    <w:bookmarkStart w:id="13" w:name="X251c9f95157e67160e2c0ce0dd1cf22009a9bd4"/>
    <w:p>
      <w:pPr>
        <w:pStyle w:val="Heading2"/>
      </w:pPr>
      <w:r>
        <w:t xml:space="preserve">3. La chujlla y el entorno lítico: el habitáculo somático frente al despojo</w:t>
      </w:r>
    </w:p>
    <w:p>
      <w:pPr>
        <w:pStyle w:val="FirstParagraph"/>
      </w:pPr>
      <w:r>
        <w:t xml:space="preserve">El ayllu se presenta desde lo alto, como en un plano de situación: al Este, un «horizonte abierto, duro y seco cual las pupilas de un muerto que mirase sin ver»; al Norte, el Illampu, «casi un grito de hielo petrificado» (Botelho Gosálvez, 1982 [1945]: 6). Al centro, el cerro, «una especie de padre del ayllu», por cuyos «miembros» corren los niños pastores y de cuyas piedras están hechas las casas (ibid.: 8). En su falda, la vivienda se escalona: «Las chujllas de las familias más antiguas han trepado en los riscos del cerro y desde allí parecen ocupar un sitio de preeminencia sobre el resto de chozas desparramadas al fondo de la quebrada» (ibid.: 6). Obsérvese el verbo,</w:t>
      </w:r>
      <w:r>
        <w:t xml:space="preserve"> </w:t>
      </w:r>
      <w:r>
        <w:rPr>
          <w:i/>
          <w:iCs/>
        </w:rPr>
        <w:t xml:space="preserve">parecen</w:t>
      </w:r>
      <w:r>
        <w:t xml:space="preserve">: la preeminencia es una lectura del narrador sobre la pendiente, no un dato de la pendiente.</w:t>
      </w:r>
    </w:p>
    <w:p>
      <w:pPr>
        <w:pStyle w:val="BodyText"/>
      </w:pPr>
      <w:r>
        <w:t xml:space="preserve">La chujlla de los Huanca da la medida del habitáculo: «Rectangulares y chatas, apenas se alzan dos metros del suelo»; paredes «renegridas por el hollín», brasero «en el centro del cuarto», camastros de «apenas la altura de un adobe»; de las vigas, «mal unidas con lazos de paja trenzada, cuelgan las hoces, el arado, el yugo de madera, los ponchos y rebozos para los días de fiesta», y en un recoveco dormitan los charangos, «cuya caja es la caparazón córnea y un tanto crinuda del quirquincho, en espera de la mano que les acaricie» (ibid.: 30-31). La casa se mide con el cuerpo y guarda los instrumentos de sus manos: es una caja de herramientas, que Cárcamo Pino equipara a un repertorio de manuaje (Cárcamo Pino, 2025a: 12). Guarda también su interrupción: tras la peste, los telares de las mujeres parecen «extraños armatostes de madera abandonados» (Botelho Gosálvez, 1982 [1945]: 29). El narrador, en cambio, entra como intruso —los camastros son «morada de piojos y pulgas» y escenario de «revolcones amorosos» (ibid.: 31)—, como el habitante de la casa de Loos que Beatriz Colomina describe como «un intruso en su propio espacio» (Colomina, 1992: 95, cit. en Martin, 2014: 66), solo que este intruso no habita: escribe. Para Bachelard, la casa «protege al soñador» (Bachelard, 1994 [1958]: 6, cit. en Martin, 2014: 63), y el nido, «una cosa precaria», hace soñar la seguridad (Bachelard, 1994 [1958]: 102, cit. en Martin, 2014: 71). La chujlla es ambas cosas; para el narrador, una madriguera. Su umbral es, como en toda casa de Loos, «un punto de máxima tensión» (Colomina, 1994: 276, cit. en Martin, 2014: 88): desde el «portal de su chujlla» mira Paulo Huanca partir a los hijos que la escasez expulsa (Botelho Gosálvez, 1982 [1945]: 34).</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Una sección completa: muros de piedra del cerro-padre, dos metros de altura, fuego central, herramental colgado de las vigas (ibid.: 8, 30-31) y, en el techo, un crucifijo con «una pequeña huaca de barro cocido» contra el rayo (ibid.: 10). (2)</w:t>
      </w:r>
      <w:r>
        <w:t xml:space="preserve"> </w:t>
      </w:r>
      <w:r>
        <w:rPr>
          <w:i/>
          <w:iCs/>
        </w:rPr>
        <w:t xml:space="preserve">Pastel</w:t>
      </w:r>
      <w:r>
        <w:t xml:space="preserve">. Corte a la altura del cuerpo sentado junto al brasero. El soporte se cubre de negro y siena —el hollín— y la luz se obtiene por extracción: el esgrafiado abre en la masa oscura vigas, hoces, yugo y caparazón, como el comunario abre la tierra quitándole piedras; los muros van en empaste; el humo, con el dedo. El corte toma el perfil de un cráneo: la bóveda de paja como calota, la puerta como órbita, el fuego en el lugar del pensamiento. (3)</w:t>
      </w:r>
      <w:r>
        <w:t xml:space="preserve"> </w:t>
      </w:r>
      <w:r>
        <w:rPr>
          <w:i/>
          <w:iCs/>
        </w:rPr>
        <w:t xml:space="preserve">Contraste (hipótesis)</w:t>
      </w:r>
      <w:r>
        <w:t xml:space="preserve">. Obligado a elegir punto de vista y escala, el dibujo adopta los del cuerpo que habita, no los del narrador; la chujlla debería aparecer como cráneo bachelardiano —lugar del ensueño—, como bóveda que protege lo que piensa y como archivo del manoaje familiar. No dibujará los sueños: el narrador admite que en el alma de los comunarios, «en su secreto, nadie podía entrar» (ibid.: 65).</w:t>
      </w:r>
    </w:p>
    <w:p>
      <w:pPr>
        <w:pStyle w:val="Figura"/>
      </w:pPr>
      <w:r>
        <w:t xml:space="preserve">⟦Figura 1: pastel al óleo en ejecución⟧</w:t>
      </w:r>
    </w:p>
    <w:p>
      <w:pPr>
        <w:pStyle w:val="Piedefigura"/>
      </w:pPr>
      <w:r>
        <w:rPr>
          <w:b/>
          <w:bCs/>
        </w:rPr>
        <w:t xml:space="preserve">Figura 1.</w:t>
      </w:r>
      <w:r>
        <w:t xml:space="preserve"> </w:t>
      </w:r>
      <w:r>
        <w:rPr>
          <w:i/>
          <w:iCs/>
        </w:rPr>
        <w:t xml:space="preserve">Cráneo/nido: sección de la chujlla de los Huanca</w:t>
      </w:r>
      <w:r>
        <w:t xml:space="preserve">. Pastel al óleo, ⟦soporte, medidas, año⟧. Fuente: elaboración propia.</w:t>
      </w:r>
    </w:p>
    <w:p>
      <w:pPr>
        <w:pStyle w:val="BodyText"/>
      </w:pPr>
      <w:r>
        <w:t xml:space="preserve">El capítulo «El signo escalonado» muestra que la jerarquía no viene solo de fuera. Llegado tras la sublevación de Tupaj Katari, un Villca prófugo funda una estirpe, y su hijo Pedro «empotró en el suelo del ayllu las estacas de propiedad y empezó a dominar» (ibid.: 20): la primera estaca la clava una mano aymara. Los Villca inventan genealogías imperiales porque «necesitaban aquel blasón para sustentar su orgullo y su riqueza» (ibid.: 28): la memoria mítica funciona como título. Y la memoria misma se escalona: la historia de los Villca es «edificante y fantástica»; las de los pequeños propietarios, «historias desabridas»; los peones «no tienen historia», salvo la que resumen tres palabras: «¡hambre, persecución y muerte!» (ibid.: 22-23). El capítulo cierra con la fórmula —«Así los Villca, Huanca y Condori, son las generaciones del Signo Escalonado» (ibid.: 38)—, mientras el glosario define el término como «Signo sagrado de Tiwanaco» (ibid.: 163). El narrador convierte un signo sagrado en diagrama de clases: un caso de manual de la advertencia de Hall.</w:t>
      </w:r>
    </w:p>
    <w:p>
      <w:pPr>
        <w:pStyle w:val="BodyText"/>
      </w:pPr>
      <w:r>
        <w:t xml:space="preserve">Entre ambos momentos se narra el despojo de Kero-Pata, el ayllu de origen de Juan Condori, cuyos comunarios habían estado «amparados por las Cédulas Reales» hasta que, con la República, «los doctores alto-peruanos les birlaron la tierra» (ibid.: 36). El papel protegió y el papel despojó. El procedimiento es una red: en plena epidemia, los Ticona pagan con una hectárea los responsos de sus muertos; el tata-cura la vende al doctor Bautista Las Casas; el tata-intendente y el tata-corregidor toman posesión; hay «una gran cuestión de títulos, papel sellado y pago de impuestos», se «comprobó» una deuda con el fisco y Las Casas, que la paga, obtiene veinte hectáreas: «La tierra era de él, pues así lo declaraban los papeles del Gobierno. Construyó una amplia casa de hacienda situada enfrente de la iglesia del ayllu. La religión y la propiedad quedaron frente a frente, guiñándose con sus ventanucos empolvados» (ibid.: 36-37). Siguen setecientas familias convertidas en pongos, soldados indios que practican tiro sobre sus hermanos y herederos para quienes «la máquina era el dios del siglo» (ibid.: 37). Los edificios son cómplices que se guiñan.</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(ibid.: 6, 20-23, 38) y un dato que lo contradice: al peón Juan Condori le dan «una chujlla que estaba abandonada cerro arriba» (ibid.: 35). En planta, el «tablero de ajedrez un poco desigual, un poco contrahecho» de los barbechos y sus mojones (ibid.: 9), las estacas y los títulos. (2)</w:t>
      </w:r>
      <w:r>
        <w:t xml:space="preserve"> </w:t>
      </w:r>
      <w:r>
        <w:rPr>
          <w:i/>
          <w:iCs/>
        </w:rPr>
        <w:t xml:space="preserve">Pastel</w:t>
      </w:r>
      <w:r>
        <w:t xml:space="preserve">. Dos proyecciones en una hoja: el cerro en sección, escalonado por acumulación de empastes, piedra a piedra; el catastro en planta, incidido con un punzón en la cera. La mancha del dedo es manuaje «en sentido fuerte», hecho de «emisiones manugráficas con baja o nula escrituralidad» (Cárcamo Pino, 2025b: 259); la incisión, manugrafía de alta escrituralidad. Entre signo y mapa media una operación, no un órgano. (3)</w:t>
      </w:r>
      <w:r>
        <w:t xml:space="preserve"> </w:t>
      </w:r>
      <w:r>
        <w:rPr>
          <w:i/>
          <w:iCs/>
        </w:rPr>
        <w:t xml:space="preserve">Contraste (hipótesis)</w:t>
      </w:r>
      <w:r>
        <w:t xml:space="preserve">. Dibujado sobre la pendiente, el signo no encaja: el peón ocupa un escalón alto; los Villca bajarán al pesebre de la aldea; en los Yungas la hacienda preside los «graderíos» del cocal (Botelho Gosálvez, 1982 [1945]: 112); en la mina, chalets, filas de casas y «cuchitriles de calamina» rehacen la escalera (ibid.: 135). El signo funcionaría como un operador recursivo de dominación que cada territorio vuelve a escalonar, no como una identidad fija. Mito y mapa no se oponen: ambos son escalonados.</w:t>
      </w:r>
    </w:p>
    <w:p>
      <w:pPr>
        <w:pStyle w:val="Figura"/>
      </w:pPr>
      <w:r>
        <w:t xml:space="preserve">⟦Figura 2: pastel al óleo en ejecución⟧</w:t>
      </w:r>
    </w:p>
    <w:p>
      <w:pPr>
        <w:pStyle w:val="Piedefigura"/>
      </w:pPr>
      <w:r>
        <w:rPr>
          <w:b/>
          <w:bCs/>
        </w:rPr>
        <w:t xml:space="preserve">Figura 2.</w:t>
      </w:r>
      <w:r>
        <w:t xml:space="preserve"> </w:t>
      </w:r>
      <w:r>
        <w:rPr>
          <w:i/>
          <w:iCs/>
        </w:rPr>
        <w:t xml:space="preserve">Signo Escalonado frente al mapa: el cerro de Jatun-Kolla en sección y en planta</w:t>
      </w:r>
      <w:r>
        <w:t xml:space="preserve">. Pastel al óleo, ⟦soporte, medidas, año⟧. Fuente: elaboración propia.</w:t>
      </w:r>
    </w:p>
    <w:bookmarkEnd w:id="13"/>
    <w:bookmarkStart w:id="14" w:name="X00cd535bb73b3e228c9be016a5a02025a5951ae"/>
    <w:p>
      <w:pPr>
        <w:pStyle w:val="Heading2"/>
      </w:pPr>
      <w:r>
        <w:t xml:space="preserve">4. El espacio concebido y la trampa de la letra: Umacachi</w:t>
      </w:r>
    </w:p>
    <w:p>
      <w:pPr>
        <w:pStyle w:val="FirstParagraph"/>
      </w:pPr>
      <w:r>
        <w:t xml:space="preserve">La historia urbana de Umacachi es una sucesión de ocupaciones: tambo incaico, iglesia y fuerte coloniales y, con la República, la decisión de «situar la Sub-prefectura, el Municipio y la Policía donde antes aposentaba la reducida guarnición hispana» (Botelho Gosálvez, 1982 [1945]: 83). El Juzgado funciona «en el viejo edificio residuo del Coloniaje» (ibid.: 86). Cada régimen se aloja en la cáscara del anterior: es el espacio concebido, el dominante, en su versión aldeana.</w:t>
      </w:r>
    </w:p>
    <w:p>
      <w:pPr>
        <w:pStyle w:val="BodyText"/>
      </w:pPr>
      <w:r>
        <w:t xml:space="preserve">Allí opera el doctor Margarito Mendoza, alias «el lobo», Alcalde vitalicio, «con el fajo de expedientes bajo el brazo», maestro en «tejer obscuras mallas de términos seudo jurídicos»; los tinterillos «urden pleitos por nada» (ibid.). Una arqueología etimológica a la manera de Cárcamo Pino muestra lo que el pasaje comparte con el resto de la novela:</w:t>
      </w:r>
      <w:r>
        <w:t xml:space="preserve"> </w:t>
      </w:r>
      <w:r>
        <w:rPr>
          <w:i/>
          <w:iCs/>
        </w:rPr>
        <w:t xml:space="preserve">texto</w:t>
      </w:r>
      <w:r>
        <w:t xml:space="preserve"> </w:t>
      </w:r>
      <w:r>
        <w:t xml:space="preserve">viene de</w:t>
      </w:r>
      <w:r>
        <w:t xml:space="preserve"> </w:t>
      </w:r>
      <w:r>
        <w:rPr>
          <w:i/>
          <w:iCs/>
        </w:rPr>
        <w:t xml:space="preserve">textus</w:t>
      </w:r>
      <w:r>
        <w:t xml:space="preserve">, tejido, y</w:t>
      </w:r>
      <w:r>
        <w:t xml:space="preserve"> </w:t>
      </w:r>
      <w:r>
        <w:rPr>
          <w:i/>
          <w:iCs/>
        </w:rPr>
        <w:t xml:space="preserve">urdir</w:t>
      </w:r>
      <w:r>
        <w:t xml:space="preserve"> </w:t>
      </w:r>
      <w:r>
        <w:t xml:space="preserve">nombra a la vez la urdimbre del telar y la maquinación. Los mismos términos describen las lanzaderas de las tejedoras Huanca «a través de la delicada malla» y a los varones que hacen «bonita urdimbre de surcos» (ibid.: 29). Escribir, tejer y arar comparten el vocabulario de la mano: la novela no opone la mano a la letra, sino unos manoajes a otros. Tampoco reduce el despojo a un villano: el tata-corregidor, el tata-alcalde, el tata-intendente y el tata-cura son «cuatro patas de la bestia opresora del puneño» (ibid.: 13); el Subprefecto multa y suelta a los indios para que los gendarmes vuelvan a atraparlos (ibid.: 87); son «cinco gendarmes indios» quienes arrastran a Vicente Villca al patio donde lo azotan (ibid.: 101); y hay una chola que cobra por el pesebre, vecinos que felicitan y un tinterillo que vende consultas.</w:t>
      </w:r>
    </w:p>
    <w:p>
      <w:pPr>
        <w:pStyle w:val="BodyText"/>
      </w:pPr>
      <w:r>
        <w:t xml:space="preserve">Los Villca, amos del ayllu, llegan a la aldea con treinta y cuatro ovejas, y la comadre Encarnación les ofrece el corral: «Tu familia puede acomodarse en el pesebre» (ibid.: 92). El escalón superior del Signo desciende al lugar de los animales: «Villca, el rico Villca, entre los mestizos caminaba con la servilleta al brazo» (ibid.). Las mujeres barren y tienden las esteras, y la familia devora «el agrio yantar del confinamiento» (ibid.: 93). Entonces llega la letra: «Todos los animales de carneo que existen dentro del radio urbano serán requisados […] (Fdo.) Dr. Margarito Mendoza» (ibid.: 96). La trampa es geométrica —un radio trazado sobre el papel convierte el corral en encierro— y es manual: está firmada. La plaza se vuelve «encerrona»; el pueblo, un «embudo» por el que los animales se esfuman en las fincas del Alcalde (ibid.: 102); la fortuna de los Villca se reduce «a mil seiscientos bolivianos en papel» (ibid.: 103).</w:t>
      </w:r>
    </w:p>
    <w:p>
      <w:pPr>
        <w:pStyle w:val="BodyText"/>
      </w:pPr>
      <w:r>
        <w:t xml:space="preserve">La letra, además, pesa. En la oficina del tinterillo hay «un desordenado montón de papeles y libracos» (ibid.) —otra vez el montón—, y la defensa se tasa por tonelaje: entre un Código Penal en infolio y un manual, el grande «tiene más peso legal y jurídico que el chiquitito» (ibid.: 104). El peso del papel no es metáfora: es masa puesta a trabajar como argumento. Vicente rehúsa, lúcido, pero la aldea ya ha hecho su obra: dos niños mueren de hambre y los entierran «allí mismo, bajo el suelo del pesebre, para evitar el pago al cura y el municipio» (ibid.: 106). Lo siniestro, dice Freud, remite «a lo que alguna vez fue bien conocido y familiar» (Freud, 2003 [1919]: 124, cit. en Martin, 2014: 64); de la casa familiar a la casa embrujada, añade Vidler, «hay un solo pasaje» (Vidler, 1992: 32, cit. en Martin, 2014: 99). Aquí, ese pasaje es un pesebre «donde el viento entraba por todas partes» (Botelho Gosálvez, 1982 [1945]: 105): refugio, jaula y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la aldea los alojó como a animales de casa.</w:t>
      </w:r>
    </w:p>
    <w:bookmarkEnd w:id="14"/>
    <w:bookmarkStart w:id="15" w:name="X316919c11f290d2302a6e670109a22877329181"/>
    <w:p>
      <w:pPr>
        <w:pStyle w:val="Heading2"/>
      </w:pPr>
      <w:r>
        <w:t xml:space="preserve">5. Las derivas biomecánicas del éxodo (Yungas y socavón)</w:t>
      </w:r>
    </w:p>
    <w:p>
      <w:pPr>
        <w:pStyle w:val="FirstParagraph"/>
      </w:pPr>
      <w:r>
        <w:t xml:space="preserve">El éxodo a los Yungas empieza en un umbral. «Tras de la muralla que condena el horizonte del altiplano empieza el yunga», donde «el horizonte, estrangulado, se limita entre los cerros» (Botelho Gosálvez, 1982 [1945]: 108). En la apacheta, «abra de las cordilleras y cumbre de los caminos» (ibid.: 160), el viento sacude el poncho de Paulo Huanca «como un gallardete clavado en la ceja de la apacheta»; su familia reza de rodillas; «la inmensa fauce del yunga deglutía una muselina de vapor fragante, como espumosa baba», y las cumbres se alzan «semejantes a fantásticas construcciones góticas» (ibid.: 109). El símil gótico es otra proyección: el narrador mira la cordillera con la arquitectura de Europa.</w:t>
      </w:r>
    </w:p>
    <w:p>
      <w:pPr>
        <w:pStyle w:val="BodyText"/>
      </w:pPr>
      <w:r>
        <w:t xml:space="preserve">Del otro lado, el cuerpo del puneño deriva. Su manoaje no se traslada —«Sabrás arar en la puna, pero aquí esa es otra música» (ibid.: 113)— y el machete le resulta un «curioso instrumento» (ibid.: 117). La envoltura del cuerpo se deshace: «La masa de mugre que en las alturas había acumulado durante decenas de años para protegerse del frío, se pegaba en la camisa […] como una goma acre» (ibid.: 118). Paulo cae «de bruces, con ambos brazos abiertos sobre las cañas» (ibid.: 119), se consume «derritiéndose como muñeco de cera» (ibid.: 123) y su vitalidad «se deshilaba como un lienzo viejo» (ibid.: 124). El mayordomo lo expulsa desde «el vano de la puerta» (ibid.: 126); en el aserradero, el contratista lo recibe con una amputación por argumento: «No hace dos días que uno de ustedes se ha cercenado una mano en la sierra» (ibid.: 129). Martin describe en Lynch la carne «sometida a la lógica despiadada de la maquinaria» (Martin, 2014: 20); aquí la máquina corta la mano y el patrón hace de la mutilación una prueba contra las víctimas. La hija mayor de Paulo, a quien el narrador presenta dejando «ver sus nacientes senos» (Botelho Gosálvez, 1982 [1945]: 125), es violada por el patrón, los capataces y los peones, y «con su propia mano se quitó la vida» (ibid.: 132). No tiene nombre; el narrador despacha su muerte con un inciso: «—vieja historia—» (ibid.). La única agencia que concede a la mano de esa muchacha es el suicidio. La única travesía lograda la hacen los monos, que tienden sobre el río «una cadena cogiéndose de manos» hasta quedar «formando un puente colgante» (ibid.: 121): una arquitectura de manos, la de la braquiación que, según Cárcamo Pino, impuso a la mano primate «una gran carga sobre la capacidad de control cinestésico y de cálculo espacial» (Cárcamo Pino, 2025a: 8).</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Un umbral sin piedras: la novela no menciona las que los caminantes suelen sumar a las apachetas; marca la cumbre con un cuerpo erguido, la familia arrodillada, la «fauce» del yunga y las cumbres «góticas» (Botelho Gosálvez, 1982 [1945]: 109); más abajo, el puente de monos (ibid.: 121). (2)</w:t>
      </w:r>
      <w:r>
        <w:t xml:space="preserve"> </w:t>
      </w:r>
      <w:r>
        <w:rPr>
          <w:i/>
          <w:iCs/>
        </w:rPr>
        <w:t xml:space="preserve">Pastel</w:t>
      </w:r>
      <w:r>
        <w:t xml:space="preserve">. Formato apaisado partido por la cresta: del lado de la puna, pastel seco sobre papel de grano grueso, que asoma como piedra; del lado del yunga, pastel disuelto en veladuras que chorrean. El umbral es el lugar donde una técnica se vuelve la otra: el punto de máxima tensión de la hoja. (3)</w:t>
      </w:r>
      <w:r>
        <w:t xml:space="preserve"> </w:t>
      </w:r>
      <w:r>
        <w:rPr>
          <w:i/>
          <w:iCs/>
        </w:rPr>
        <w:t xml:space="preserve">Contraste (hipótesis)</w:t>
      </w:r>
      <w:r>
        <w:t xml:space="preserve">. Al pasar de lo seco a lo húmedo, el pastel debería mostrar que los Yungas no son otro paisaje, sino un cambio de estado de la materia y de la mano: la cera se funde como Paulo, «muñeco de cera» (ibid.: 123). Y el puente de manos se opondría al vano por el que se expulsa: lo único que cruza el abismo es colectivo y está hecho de manos.</w:t>
      </w:r>
    </w:p>
    <w:p>
      <w:pPr>
        <w:pStyle w:val="Figura"/>
      </w:pPr>
      <w:r>
        <w:t xml:space="preserve">⟦Figura 3: pastel al óleo en ejecución⟧</w:t>
      </w:r>
    </w:p>
    <w:p>
      <w:pPr>
        <w:pStyle w:val="Piedefigura"/>
      </w:pPr>
      <w:r>
        <w:rPr>
          <w:b/>
          <w:bCs/>
        </w:rPr>
        <w:t xml:space="preserve">Figura 3.</w:t>
      </w:r>
      <w:r>
        <w:t xml:space="preserve"> </w:t>
      </w:r>
      <w:r>
        <w:rPr>
          <w:i/>
          <w:iCs/>
        </w:rPr>
        <w:t xml:space="preserve">Umbral de la apacheta: la ceja de la cordillera y la fauce del yunga</w:t>
      </w:r>
      <w:r>
        <w:t xml:space="preserve">. Pastel al óleo, ⟦soporte, medidas, año⟧. Fuente: elaboración propia.</w:t>
      </w:r>
    </w:p>
    <w:p>
      <w:pPr>
        <w:pStyle w:val="BodyText"/>
      </w:pPr>
      <w:r>
        <w:t xml:space="preserve">La mina «Pensylvania», de la compañía yanqui The Star Syndicate, se anuncia de noche con «el encaje de acero de la torre de un andarivel» y una máquina «de tres pesados y anchos martillos» (ibid.: 134-135). El campamento reproduce la escalera: chalets de ingenieros con jardines «mantenidos a fuerza de salitre», casas de empleados «alineadas como las cuadras de un cuartel», casitas de capataces y el «enjambre de cuchitriles de calamina» de los mineros (ibid.: 135); abajo, «la noche del subsuelo es eterna» (ibid.: 136). La empresa inscribe a Condori —«Tomaron su identidad e impresiones digitales» (ibid.: 140)— y la mano del comunario entra en el archivo como huella: es su primera firma. El capataz le anuncia, además, el retorno de la cosecha: «Aquí cosecharás miles de cargas de estaño» (ibid.: 142).</w:t>
      </w:r>
    </w:p>
    <w:p>
      <w:pPr>
        <w:pStyle w:val="BodyText"/>
      </w:pPr>
      <w:r>
        <w:t xml:space="preserve">Se baja en jaula. En la entrada, «como dos enormes nichos se miraban en el muro los huecos […] por donde bajaban y subían las jaulas»; en una de ellas, siete hombres quedan «apeñuscados contra la rejilla» y Condori siente «la vertiginosa caída» (ibid.: 141-143). Martin llama al ascensor de</w:t>
      </w:r>
      <w:r>
        <w:t xml:space="preserve"> </w:t>
      </w:r>
      <w:r>
        <w:rPr>
          <w:i/>
          <w:iCs/>
        </w:rPr>
        <w:t xml:space="preserve">Eraserhead</w:t>
      </w:r>
      <w:r>
        <w:t xml:space="preserve"> </w:t>
      </w:r>
      <w:r>
        <w:t xml:space="preserve">un «teatro de la crueldad» (Martin, 2014: 69) y ve a las figuras de Bacon «luchando por afirmarse dentro de estructuras semejantes a jaulas» (ibid.: 84). En</w:t>
      </w:r>
      <w:r>
        <w:t xml:space="preserve"> </w:t>
      </w:r>
      <w:r>
        <w:rPr>
          <w:i/>
          <w:iCs/>
        </w:rPr>
        <w:t xml:space="preserve">Altiplano</w:t>
      </w:r>
      <w:r>
        <w:t xml:space="preserve"> </w:t>
      </w:r>
      <w:r>
        <w:t xml:space="preserve">la jaula es literal. Abajo, Condori hace el trabajo del ayllu: acarrea «grandes montones de cascotes» para abrir «un boquete» hacia el plano «450» (Botelho Gosálvez, 1982 [1945]: 144). Cuando la galería se inunda, la empresa baja «rieles, maderos, dinamita, hombres» (ibid.: 151): la materia, «especialmente la carne humana, está sometida a la maquinaria» (Martin, 2014: 25). El agua mide el cuerpo —tobillos, rodillas, cintura, ombligo (Botelho Gosálvez, 1982 [1945]: 145, 152-153)— y, cuando Condori intenta retroceder, el ingeniero Williams «le abrió un boquete en la cabeza» (ibid.: 153): el mismo sustantivo de la roca. Luego «quebróse la viga del techo» —falla el apoyo— y queda «un informe montón de rocas, lodo y maderos astillados»; «nadie sospechó el crimen» (ibid.: 154). La mina es una heterotopía, un lugar capaz de «yuxtaponer en un solo lugar real varios espacios» incompatibles (Foucault, 1986 [1967]: 25, cit. en Martin, 2014: 137): la cosecha, la tumba, la gruta de la Virgen junto a la pila (Botelho Gosálvez, 1982 [1945]: 136), las ofrendas al Tío (ibid.: 149) y unos jardines de salitre que compensan con su orden el desorden del mundo (Foucault, 1986 [1967]: 27, cit. en Martin, 2014: 138).</w:t>
      </w:r>
    </w:p>
    <w:p>
      <w:pPr>
        <w:pStyle w:val="BodyText"/>
      </w:pPr>
      <w:r>
        <w:rPr>
          <w:b/>
          <w:bCs/>
        </w:rPr>
        <w:t xml:space="preserve">Figura 6.</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Pastel</w:t>
      </w:r>
      <w:r>
        <w:t xml:space="preserve">. Formato vertical. Arriba, la torre incidida como encaje sobre el cielo nocturno y, junto a ella, el desmonte por el que se entra a la mina (ibid.: 140); debajo, el pique y los niveles «300», «350» y «450» como pisos de un edificio invertido. Los siete cuerpos de la jaula, hechos con el dedo, sin línea; la rejilla, esgrafiada sobre ellos, como el marco que, en la lectura que Martin hace de Deleuze, «ejerce una fuerza sobre la figura central, aislando un cuerpo suspendido» (Martin, 2014: 85); en el fondo, una banda de pastel disuelto que sube por los cuerpos como el agua. (3)</w:t>
      </w:r>
      <w:r>
        <w:t xml:space="preserve"> </w:t>
      </w:r>
      <w:r>
        <w:rPr>
          <w:i/>
          <w:iCs/>
        </w:rPr>
        <w:t xml:space="preserve">Contraste (hipótesis)</w:t>
      </w:r>
      <w:r>
        <w:t xml:space="preserve">. Superponer la escalera de la superficie y los niveles subterráneos debería mostrar la mina como doble invertido del ayllu: el mismo gesto —despejar y apilar piedras— capturado por una máquina que lo vuelve mercancía y vuelve material al cuerpo. La montaña de piedras que los comunarios soñaban más alta que el cerro (Botelho Gosálvez, 1982 [1945]: 9) crece, en efecto, pero como desmonte.</w:t>
      </w:r>
    </w:p>
    <w:p>
      <w:pPr>
        <w:pStyle w:val="Figura"/>
      </w:pPr>
      <w:r>
        <w:t xml:space="preserve">⟦Figura 6: pastel al óleo en ejecución⟧</w:t>
      </w:r>
    </w:p>
    <w:p>
      <w:pPr>
        <w:pStyle w:val="Piedefigura"/>
      </w:pPr>
      <w:r>
        <w:rPr>
          <w:b/>
          <w:bCs/>
        </w:rPr>
        <w:t xml:space="preserve">Figura 6.</w:t>
      </w:r>
      <w:r>
        <w:t xml:space="preserve"> </w:t>
      </w:r>
      <w:r>
        <w:rPr>
          <w:i/>
          <w:iCs/>
        </w:rPr>
        <w:t xml:space="preserve">El castillete y la caída al plano 450</w:t>
      </w:r>
      <w:r>
        <w:t xml:space="preserve">. Pastel al óleo, ⟦soporte, medidas, año⟧. Fuente: elaboración propia.</w:t>
      </w:r>
    </w:p>
    <w:bookmarkEnd w:id="15"/>
    <w:bookmarkStart w:id="16" w:name="X4736e9544cd7b6d8f6a7d7e712e0e951ea82080"/>
    <w:p>
      <w:pPr>
        <w:pStyle w:val="Heading2"/>
      </w:pPr>
      <w:r>
        <w:t xml:space="preserve">6. La carne en el espacio de la catástrofe: Francis Bacon en Jatun-Kolla</w:t>
      </w:r>
    </w:p>
    <w:p>
      <w:pPr>
        <w:pStyle w:val="FirstParagraph"/>
      </w:pPr>
      <w:r>
        <w:t xml:space="preserve">La sequía se narra con vocabulario de arquitectura y de dibujo. Las sementeras «se agrietan como paredes envejecidas» (Botelho Gosálvez, 1982 [1945]: 56); «Ni una pincelada enturbió el papel celeste y deslumbrador del cielo» (ibid.: 57). Tras quemar ofrendas en el cerro, el anciano Huallpa sentencia: «La tierra está vieja, y como toda vieja, es sorda» (ibid.: 58). En la rogativa, los comunarios avanzan de rodillas y su piel «sangraba, dejaban tras sí manchones en el cascajo» (ibid.: 60): los cuerpos dibujan sobre el suelo. Pronto, «cielo y tierra eran para ellos como una tremenda cárcel» (ibid.: 72). Martin encuentra en Bacon y en Lynch «la idea de la humanidad como un animal enjaulado en un entorno ilimitado» (Martin, 2014: 85); la sequía produce esa figura: la llanura sin límite se vuelve jaula. Produce también el anillo: para matar a los perros hambrientos, los comunarios «los rodeaban estrechando el círculo» (Botelho Gosálvez, 1982 [1945]: 63). El mismo círculo se cerrará alrededor de un hombre.</w:t>
      </w:r>
    </w:p>
    <w:p>
      <w:pPr>
        <w:pStyle w:val="BodyText"/>
      </w:pPr>
      <w:r>
        <w:t xml:space="preserve">El yatiri Basilio Quispe, que vive en la falda del cerro, es acusado de la sequía; de sus ropas caen «dos muñequitos de lana que estaban atravesados en el pecho por una espina» (ibid.: 67). Justina Huanca lo araña «como la fiera y brava hembra del puma»; alguien grita «¡Separar la cabeza del tronco para que el día del Juicio Final no la encuentre!»; «los indios le descuartizaron» (ibid.: 68). El narrador anota «un ardor bestial» y «algo de macabro en el espectáculo», y cierra con una dispersión: «cada cual se llevó un miembro»; Justina atraviesa con espinos los genitales del muerto, «sintiendo en lo íntimo de su conciencia de hembra» la venganza, y «en muchos sitios enterraron los pedazos del cuerpo» (ibid.: 69). Tres lecturas se superponen. La de Alberti, invertida: el cuerpo, edificio de miembros «unidos y articulados», se descompone y sus partes se reparten en el territorio. La de Bacon: en</w:t>
      </w:r>
      <w:r>
        <w:t xml:space="preserve"> </w:t>
      </w:r>
      <w:r>
        <w:rPr>
          <w:i/>
          <w:iCs/>
        </w:rPr>
        <w:t xml:space="preserve">Crucifixión</w:t>
      </w:r>
      <w:r>
        <w:t xml:space="preserve"> </w:t>
      </w:r>
      <w:r>
        <w:t xml:space="preserve">(1965), dos jueces examinan «las manipulaciones de la carne» (Martin, 2014: 85), como la comunidad y el lector ante la de Basilio, y la escena produce la impresión de que «una catástrofe sobrevino al lienzo» (Deleuze, 2003 [1981]: 100, cit. en Martin, 2014: 84). Y la de la</w:t>
      </w:r>
      <w:r>
        <w:t xml:space="preserve"> </w:t>
      </w:r>
      <w:r>
        <w:rPr>
          <w:i/>
          <w:iCs/>
        </w:rPr>
        <w:t xml:space="preserve">kenchería</w:t>
      </w:r>
      <w:r>
        <w:t xml:space="preserve">, «mal de ojo, brujería» según el glosario (Botelho Gosálvez, 1982 [1945]: 162): la espina de la muñeca reaparece en la carne; la efigie actúa. El narrador animaliza a la multitud, sexualiza la furia de Justina y hace del lector un juez de tribuna. Por eso la serie no dibuja el linchamiento: un pastel de ese cuerpo sería otra efigie.</w:t>
      </w:r>
    </w:p>
    <w:p>
      <w:pPr>
        <w:pStyle w:val="BodyText"/>
      </w:pPr>
      <w:r>
        <w:rPr>
          <w:b/>
          <w:bCs/>
        </w:rPr>
        <w:t xml:space="preserve">Figura 4.</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famélicas muestran «las nalgas abiertas a la manera de una luna menguante» (ibid.: 64). (2)</w:t>
      </w:r>
      <w:r>
        <w:t xml:space="preserve"> </w:t>
      </w:r>
      <w:r>
        <w:rPr>
          <w:i/>
          <w:iCs/>
        </w:rPr>
        <w:t xml:space="preserve">Pastel</w:t>
      </w:r>
      <w:r>
        <w:t xml:space="preserve">. El cielo queda en papel desnudo: la sequía como ausencia de pincelada. La cuenca seca de las vertientes (ibid.: 58) se dibuja como pelvis —la cadera del ganado vuelta luna menguante— en blanco hueso sobre tierra de sombra, agrietada por raspado hasta mostrar el grano del soporte. (3)</w:t>
      </w:r>
      <w:r>
        <w:t xml:space="preserve"> </w:t>
      </w:r>
      <w:r>
        <w:rPr>
          <w:i/>
          <w:iCs/>
        </w:rPr>
        <w:t xml:space="preserve">Contraste (hipótesis)</w:t>
      </w:r>
      <w:r>
        <w:t xml:space="preserve">. Narrador y personajes feminizan la tierra: vieja, sorda, tierra que «abortó en plena gestación» (ibid.: 66) y, al final, «hembra paridora» (ibid.: 159); hasta el ayllu vacío es un «solar histérico, infecundo» (ibid.: 79), e</w:t>
      </w:r>
      <w:r>
        <w:t xml:space="preserve"> </w:t>
      </w:r>
      <w:r>
        <w:rPr>
          <w:i/>
          <w:iCs/>
        </w:rPr>
        <w:t xml:space="preserve">histérico</w:t>
      </w:r>
      <w:r>
        <w:t xml:space="preserve"> </w:t>
      </w:r>
      <w:r>
        <w:t xml:space="preserve">viene del griego</w:t>
      </w:r>
      <w:r>
        <w:t xml:space="preserve"> </w:t>
      </w:r>
      <w:r>
        <w:rPr>
          <w:i/>
          <w:iCs/>
        </w:rPr>
        <w:t xml:space="preserve">hystéra</w:t>
      </w:r>
      <w:r>
        <w:t xml:space="preserve">, útero. Dibujada como pelvis, cintura ósea que soporta cargas y no receptáculo, la metáfora debería pasar del sexo a la tectónica y exponer su costo: la alegoría absorbe a las mujeres reales, de Melchora Mamani (ibid.: 35) a la hija sin nombre de Paulo Huanca.</w:t>
      </w:r>
    </w:p>
    <w:p>
      <w:pPr>
        <w:pStyle w:val="Figura"/>
      </w:pPr>
      <w:r>
        <w:t xml:space="preserve">⟦Figura 4: pastel al óleo en ejecución⟧</w:t>
      </w:r>
    </w:p>
    <w:p>
      <w:pPr>
        <w:pStyle w:val="Piedefigura"/>
      </w:pPr>
      <w:r>
        <w:rPr>
          <w:b/>
          <w:bCs/>
        </w:rPr>
        <w:t xml:space="preserve">Figura 4.</w:t>
      </w:r>
      <w:r>
        <w:t xml:space="preserve"> </w:t>
      </w:r>
      <w:r>
        <w:rPr>
          <w:i/>
          <w:iCs/>
        </w:rPr>
        <w:t xml:space="preserve">Pelvis telúrica / Pachamama sorda</w:t>
      </w:r>
      <w:r>
        <w:t xml:space="preserve">. Pastel al óleo, ⟦soporte, medidas, año⟧. Fuente: elaboración propia.</w:t>
      </w:r>
    </w:p>
    <w:p>
      <w:pPr>
        <w:pStyle w:val="BodyText"/>
      </w:pPr>
      <w:r>
        <w:rPr>
          <w:b/>
          <w:bCs/>
        </w:rPr>
        <w:t xml:space="preserve">Figura 5.</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subió en el estrado» a reclamar amor por la tierra, y lo abuchean (ibid.: 75). La comunidad deja «tres vigilantes al cuidado del ayllu» (ibid.), peones sin tierra que se instalan «en la chujlla de los Villca, la más amplia y cómoda», mientras los buitres vigilan desde el campanario, «aquella atalaya» (ibid.: 79). (2)</w:t>
      </w:r>
      <w:r>
        <w:t xml:space="preserve"> </w:t>
      </w:r>
      <w:r>
        <w:rPr>
          <w:i/>
          <w:iCs/>
        </w:rPr>
        <w:t xml:space="preserve">Pastel</w:t>
      </w:r>
      <w:r>
        <w:t xml:space="preserve">. Nocturno vertical: tres figuras en el vano de la chujlla vacía, trazadas como postes o mojones, y el cayado como cuarto apoyo; alrededor, puertas batidas por el viento y los muertos que, según el narrador, salían de la tierra «para mirar el cielo» (ibid.: 80), hechos con veladuras de dedo. (3)</w:t>
      </w:r>
      <w:r>
        <w:t xml:space="preserve"> </w:t>
      </w:r>
      <w:r>
        <w:rPr>
          <w:i/>
          <w:iCs/>
        </w:rPr>
        <w:t xml:space="preserve">Contraste (hipótesis)</w:t>
      </w:r>
      <w:r>
        <w:t xml:space="preserve">. El narrador llama a los vigías «cancerberos» y «muertos en vida» (ibid.), pero también «celadores y enfermeros» (ibid.: 79). El pastel debería mostrar la resistencia no como gesta —el discurso de Braulio fracasa—, sino como mantenimiento: quedarse, guardar, cuidar; un trabajo que hace el escalón más bajo del Signo en la casa del más alto. Anticipa así el final, donde otra atalaya, «la atalaya de la esperanza» (ibid.: 157), se negará a mirar hacia abajo.</w:t>
      </w:r>
    </w:p>
    <w:p>
      <w:pPr>
        <w:pStyle w:val="Figura"/>
      </w:pPr>
      <w:r>
        <w:t xml:space="preserve">⟦Figura 5: pastel al óleo en ejecución⟧</w:t>
      </w:r>
    </w:p>
    <w:p>
      <w:pPr>
        <w:pStyle w:val="Piedefigura"/>
      </w:pPr>
      <w:r>
        <w:rPr>
          <w:b/>
          <w:bCs/>
        </w:rPr>
        <w:t xml:space="preserve">Figura 5.</w:t>
      </w:r>
      <w:r>
        <w:t xml:space="preserve"> </w:t>
      </w:r>
      <w:r>
        <w:rPr>
          <w:i/>
          <w:iCs/>
        </w:rPr>
        <w:t xml:space="preserve">El centinela de la resistencia: los tres vigías del ayllu vacío</w:t>
      </w:r>
      <w:r>
        <w:t xml:space="preserve">. Pastel al óleo, ⟦soporte, medidas, año⟧. Fuente: elaboración propia.</w:t>
      </w:r>
    </w:p>
    <w:bookmarkEnd w:id="16"/>
    <w:bookmarkStart w:id="17" w:name="X7f256eca2840de5569f5aa15d34533f2e120cfb"/>
    <w:p>
      <w:pPr>
        <w:pStyle w:val="Heading2"/>
      </w:pPr>
      <w:r>
        <w:t xml:space="preserve">7. Reparación material y selección de la memoria: el retorno</w:t>
      </w:r>
    </w:p>
    <w:p>
      <w:pPr>
        <w:pStyle w:val="FirstParagraph"/>
      </w:pPr>
      <w:r>
        <w:t xml:space="preserve">Con las heladas vuelven los sobrevivientes: «en el dintel de Jatun-Kolla se detenían para ponerse de rodillas y besar el suelo» (Botelho Gosálvez, 1982 [1945]: 155). El ayllu tiene dintel: es una casa. Han muerto más de ciento cincuenta comunarios (ibid.: 156). La reparación es un trabajo de manos y de piedra: «Las chujllas fueron reparadas del estrago, las pircas de piedra que separan las parcelas fueron compuestas» (ibid.).</w:t>
      </w:r>
      <w:r>
        <w:t xml:space="preserve"> </w:t>
      </w:r>
      <w:r>
        <w:rPr>
          <w:i/>
          <w:iCs/>
        </w:rPr>
        <w:t xml:space="preserve">Compuestas</w:t>
      </w:r>
      <w:r>
        <w:t xml:space="preserve">: la composición de partes que la tratadística reservó al arquitecto reaparece como faena comunal. Y como ya no hay bueyes, «los mismos hombres eran quienes tiraban el arado» (ibid.): el cuerpo entero ocupa el lugar del animal muerto. Reparar había sido el gesto constante de Juan Condori, en una chujlla abandonada (ibid.: 35) y en su casucha minera (ibid.: 140). El narrador, sin embargo, vuelve a petrificar: trabajan «con una voluntad de siglos de piedra» (ibid.: 156).</w:t>
      </w:r>
    </w:p>
    <w:p>
      <w:pPr>
        <w:pStyle w:val="BodyText"/>
      </w:pPr>
      <w:r>
        <w:t xml:space="preserve">La memoria del habitar se construye con la misma lógica.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edificar, y olvidar también. La selección tiene nombres: «Llegaron los Villca, los Huanca, los Huallpa, los Yupanqui, los Ticona, los Choque, los Chuquihuanca» (ibid.: 156); faltan los Condori, los Mamani y los Quispe, la «legión» sin tierra que cerraba la escalera del narrador (ibid.: 22). Juan Condori yace en el cementerio de los mineros; los miembros de Basilio Quispe, «en muchos sitios» (ibid.: 69). El Signo Escalonado se reconstruye sin su último escalón. En la fiesta, el Jilakata «abrió las entrañas de la bestia y extrajo las vísceras y el corazón y allí leyó las voces arcanas de la tierra» (ibid.: 157): una lectura con las manos sobre un cuerpo, esta vez sancionada. Con la cosecha, los derrotados «olvidaron la pesadilla pasada», y la Pachamama recuperó «su prestigio de hembra paridora y múltiple» (ibid.: 159). La paz se paga con ese olvido.</w:t>
      </w:r>
    </w:p>
    <w:bookmarkEnd w:id="17"/>
    <w:bookmarkStart w:id="18" w:name="X1acb3b43dfc2cc943aac2ab8b2e6c8e3e0c7451"/>
    <w:p>
      <w:pPr>
        <w:pStyle w:val="Heading2"/>
      </w:pPr>
      <w:r>
        <w:t xml:space="preserve">8. Conclusiones: lo que el dibujo desvela y sus límites</w:t>
      </w:r>
    </w:p>
    <w:p>
      <w:pPr>
        <w:pStyle w:val="FirstParagraph"/>
      </w:pPr>
      <w:r>
        <w:t xml:space="preserve">La observación y la disección del texto permiten sostener cuatro hallazgos. Primero: el montón de piedras es la arquitectura mínima de la novela —cosecha, pirca, tumba, escombro—, y la cosecha de estaño que promete el capataz (Botelho Gosálvez, 1982 [1945]: 142) es la captura de ese gesto por la máquina. Segundo: el Signo Escalonado es un operador recursivo; ayllu, aldea, cocal y campamento vuelven a escalonar a los mismos cuerpos, y el retorno rehace la escalera sin su último escalón. Tercero: el despojo opera mediante una red de personas, instituciones y soportes —expediente, papel sellado, firma, infolio, huella dactilar—; la oposición entre la mano y el papel es el discurso de la aldea, no la evidencia del texto. Cuarto: el narrador que denuncia el despojo animaliza, sexualiza y petrifica a sus víctimas, con una asimetría de género que culmina en la muchacha sin nombre.</w:t>
      </w:r>
    </w:p>
    <w:p>
      <w:pPr>
        <w:pStyle w:val="BodyText"/>
      </w:pPr>
      <w:r>
        <w:t xml:space="preserve">¿Qué desvela el dibujo? En esta fase, más preguntas que respuestas. Dibujar obliga a decidir lo que el texto deja abierto —desde dónde se mira, a qué escala, qué queda dentro y qué fuera—, y cada decisión expone la posición del narrador: fuera de la chujlla, en la tribuna del linchamiento, frente a las cumbres góticas. Las operaciones del pastel —acumular, extraer, manchar, incidir, disolver— repiten las que la novela ejerce sobre la materia: amontonar, despejar, pintar «manchones» (ibid.: 60, 156), escribir, derretirse. Leer con la mano no es ilustrar escenas, sino repetir operaciones; eso llamamos manuaje de la lectura. Las seis hipótesis serán confirmadas o corregidas por los pasteles, y la formatividad autoriza a esperar que alguno las desmienta.</w:t>
      </w:r>
    </w:p>
    <w:p>
      <w:pPr>
        <w:pStyle w:val="BodyText"/>
      </w:pPr>
      <w:r>
        <w:t xml:space="preserve">Los límites son de tres órdenes. El primero es el de Hall: la sección, el</w:t>
      </w:r>
      <w:r>
        <w:t xml:space="preserve"> </w:t>
      </w:r>
      <w:r>
        <w:rPr>
          <w:i/>
          <w:iCs/>
        </w:rPr>
        <w:t xml:space="preserve">capriccio</w:t>
      </w:r>
      <w:r>
        <w:t xml:space="preserve">, Bacon y hasta la pelvis son estructuras visuales del presente; los dibujos hablan de la novela, no del ayllu ni de la espacialidad aymara, que exigirían otras fuentes y otros interlocutores. El segundo es ético: la inmersión seduce, y un pastel puede estetizar la miseria o fabricar efigies; de ahí la decisión de no dibujar el linchamiento ni los sueños que el narrador declara inaccesibles. El tercero es de método: el dibujo depende de las coordenadas del texto y hereda sus silencios; puede volverlos visibles, no suplirlos.</w:t>
      </w:r>
    </w:p>
    <w:p>
      <w:pPr>
        <w:pStyle w:val="BodyText"/>
      </w:pPr>
      <w:r>
        <w:t xml:space="preserve">Queda el montón. «Quizá un día la montaña de piedras sobrepase la altura del cerro», esperaban los comunarios (ibid.: 9). La novela cumple la profecía por el revés: la montaña crece en el desmonte de la mina y en el «informe montón» que sepulta a Juan Condori (ibid.: 154). El dibujo no repara lo que la novela deja caer al foso; puede, a lo sumo,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18"/>
    <w:bookmarkStart w:id="19"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⟦o la autora⟧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asistente de inteligencia artificial generativa, ⟦indicar versión o modelo⟧. b)</w:t>
      </w:r>
      <w:r>
        <w:t xml:space="preserve"> </w:t>
      </w:r>
      <w:r>
        <w:rPr>
          <w:i/>
          <w:iCs/>
        </w:rPr>
        <w:t xml:space="preserve">Alcance</w:t>
      </w:r>
      <w:r>
        <w:t xml:space="preserve">: lectura asistida de las fuentes, localización y verificación de pasajes con su página, análisis estilístico de textos de referencia, propuesta de estructura, redacción de un borrador completo y diseño del protocolo de dibujo. c)</w:t>
      </w:r>
      <w:r>
        <w:t xml:space="preserve"> </w:t>
      </w:r>
      <w:r>
        <w:rPr>
          <w:i/>
          <w:iCs/>
        </w:rPr>
        <w:t xml:space="preserve">Rol</w:t>
      </w:r>
      <w:r>
        <w:t xml:space="preserve">: el autor ⟦o la autora⟧ formuló el problema, el esquema del artículo y las cautelas críticas; es autor ⟦o autora⟧ de los dibujos; revisó y reescribió el borrador, verificó las citas contra los originales y es responsable de la versión final.</w:t>
      </w:r>
    </w:p>
    <w:bookmarkEnd w:id="19"/>
    <w:bookmarkStart w:id="20" w:name="bibliografía"/>
    <w:p>
      <w:pPr>
        <w:pStyle w:val="Heading2"/>
      </w:pPr>
      <w:r>
        <w:t xml:space="preserve">Bibliografía</w:t>
      </w:r>
    </w:p>
    <w:p>
      <w:pPr>
        <w:pStyle w:val="FirstParagraph"/>
      </w:pPr>
      <w:r>
        <w:t xml:space="preserve">Alberti, Leon Battista (2011 [1452]).</w:t>
      </w:r>
      <w:r>
        <w:t xml:space="preserve"> </w:t>
      </w:r>
      <w:r>
        <w:rPr>
          <w:i/>
          <w:iCs/>
        </w:rPr>
        <w:t xml:space="preserve">Da arte edificatória</w:t>
      </w:r>
      <w:r>
        <w:t xml:space="preserve">. Lisboa: Fundação Calouste Gulbenkian.</w:t>
      </w:r>
    </w:p>
    <w:p>
      <w:pPr>
        <w:pStyle w:val="BodyText"/>
      </w:pPr>
      <w:r>
        <w:t xml:space="preserve">Bachelard, Gaston (1994 [1958]).</w:t>
      </w:r>
      <w:r>
        <w:t xml:space="preserve"> </w:t>
      </w:r>
      <w:r>
        <w:rPr>
          <w:i/>
          <w:iCs/>
        </w:rPr>
        <w:t xml:space="preserve">The Poetics of Space</w:t>
      </w:r>
      <w:r>
        <w:t xml:space="preserve">. Trad. Maria Jolas. Boston: Beacon Press.</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Colomina, Beatriz (1992).</w:t>
      </w:r>
      <w:r>
        <w:t xml:space="preserve"> </w:t>
      </w:r>
      <w:r>
        <w:t xml:space="preserve">“The Split Wall: Domestic Voyeurism”</w:t>
      </w:r>
      <w:r>
        <w:t xml:space="preserve">. En Beatriz Colomina (ed.),</w:t>
      </w:r>
      <w:r>
        <w:t xml:space="preserve"> </w:t>
      </w:r>
      <w:r>
        <w:rPr>
          <w:i/>
          <w:iCs/>
        </w:rPr>
        <w:t xml:space="preserve">Sexuality and Space</w:t>
      </w:r>
      <w:r>
        <w:t xml:space="preserve">. Nueva York: Princeton Architectural Press.</w:t>
      </w:r>
    </w:p>
    <w:p>
      <w:pPr>
        <w:pStyle w:val="BodyText"/>
      </w:pPr>
      <w:r>
        <w:t xml:space="preserve">Colomina, Beatriz (1994).</w:t>
      </w:r>
      <w:r>
        <w:t xml:space="preserve"> </w:t>
      </w:r>
      <w:r>
        <w:rPr>
          <w:i/>
          <w:iCs/>
        </w:rPr>
        <w:t xml:space="preserve">Privacy and Publicity: Modern Architecture as Mass Media</w:t>
      </w:r>
      <w:r>
        <w:t xml:space="preserve">. Cambridge, MA: MIT Press.</w:t>
      </w:r>
    </w:p>
    <w:p>
      <w:pPr>
        <w:pStyle w:val="BodyText"/>
      </w:pPr>
      <w:r>
        <w:t xml:space="preserve">Corona Martínez, Alfonso (2009 [1990]).</w:t>
      </w:r>
      <w:r>
        <w:t xml:space="preserve"> </w:t>
      </w:r>
      <w:r>
        <w:rPr>
          <w:i/>
          <w:iCs/>
        </w:rPr>
        <w:t xml:space="preserve">Ensayo sobre el proyecto</w:t>
      </w:r>
      <w:r>
        <w:t xml:space="preserve">. Buenos Aires: Nobuko.</w:t>
      </w:r>
    </w:p>
    <w:p>
      <w:pPr>
        <w:pStyle w:val="BodyText"/>
      </w:pPr>
      <w:r>
        <w:t xml:space="preserve">Deleuze, Gilles (2003 [1981]).</w:t>
      </w:r>
      <w:r>
        <w:t xml:space="preserve"> </w:t>
      </w:r>
      <w:r>
        <w:rPr>
          <w:i/>
          <w:iCs/>
        </w:rPr>
        <w:t xml:space="preserve">Francis Bacon: The Logic of Sensation</w:t>
      </w:r>
      <w:r>
        <w:t xml:space="preserve">. Trad. Daniel W. Smith. Londres: Continuum.</w:t>
      </w:r>
    </w:p>
    <w:p>
      <w:pPr>
        <w:pStyle w:val="BodyText"/>
      </w:pPr>
      <w:r>
        <w:t xml:space="preserve">Foucault, Michel (1986 [1967]).</w:t>
      </w:r>
      <w:r>
        <w:t xml:space="preserve"> </w:t>
      </w:r>
      <w:r>
        <w:t xml:space="preserve">“Of Other Spaces”</w:t>
      </w:r>
      <w:r>
        <w:t xml:space="preserve">. Trad. Jay Miskowiec.</w:t>
      </w:r>
      <w:r>
        <w:t xml:space="preserve"> </w:t>
      </w:r>
      <w:r>
        <w:rPr>
          <w:i/>
          <w:iCs/>
        </w:rPr>
        <w:t xml:space="preserve">Diacritics</w:t>
      </w:r>
      <w:r>
        <w:t xml:space="preserve">, 16(1): 22-27.</w:t>
      </w:r>
    </w:p>
    <w:p>
      <w:pPr>
        <w:pStyle w:val="BodyText"/>
      </w:pPr>
      <w:r>
        <w:t xml:space="preserve">Freud, Sigmund (2003 [1919]).</w:t>
      </w:r>
      <w:r>
        <w:t xml:space="preserve"> </w:t>
      </w:r>
      <w:r>
        <w:rPr>
          <w:i/>
          <w:iCs/>
        </w:rPr>
        <w:t xml:space="preserve">The Uncanny</w:t>
      </w:r>
      <w:r>
        <w:t xml:space="preserve">. Trad. David McLintock. Londres: Penguin.</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Lefebvre, Henri (1991 [1974]).</w:t>
      </w:r>
      <w:r>
        <w:t xml:space="preserve"> </w:t>
      </w:r>
      <w:r>
        <w:rPr>
          <w:i/>
          <w:iCs/>
        </w:rPr>
        <w:t xml:space="preserve">The Production of Space</w:t>
      </w:r>
      <w:r>
        <w:t xml:space="preserve">. Trad. Donald Nicholson-Smith. Oxford: Blackwell.</w:t>
      </w:r>
    </w:p>
    <w:p>
      <w:pPr>
        <w:pStyle w:val="BodyText"/>
      </w:pPr>
      <w:r>
        <w:t xml:space="preserve">Loos, Adolf (1972 [1910]).</w:t>
      </w:r>
      <w:r>
        <w:t xml:space="preserve"> </w:t>
      </w:r>
      <w:r>
        <w:t xml:space="preserve">“Arquitectura”</w:t>
      </w:r>
      <w:r>
        <w:t xml:space="preserve">. En</w:t>
      </w:r>
      <w:r>
        <w:t xml:space="preserve"> </w:t>
      </w:r>
      <w:r>
        <w:rPr>
          <w:i/>
          <w:iCs/>
        </w:rPr>
        <w:t xml:space="preserve">Ornamento y delito y otros escritos</w:t>
      </w:r>
      <w:r>
        <w:t xml:space="preserve">. Barcelona: Gustavo Gili.</w:t>
      </w:r>
    </w:p>
    <w:p>
      <w:pPr>
        <w:pStyle w:val="BodyText"/>
      </w:pPr>
      <w:r>
        <w:t xml:space="preserve">Lundberg, Simon (2019).</w:t>
      </w:r>
      <w:r>
        <w:t xml:space="preserve"> </w:t>
      </w:r>
      <w:r>
        <w:rPr>
          <w:i/>
          <w:iCs/>
        </w:rPr>
        <w:t xml:space="preserve">Architecture as Image</w:t>
      </w:r>
      <w:r>
        <w:t xml:space="preserve">. Trabajo de grado en Arquitectura. Estocolmo: KTH.</w:t>
      </w:r>
    </w:p>
    <w:p>
      <w:pPr>
        <w:pStyle w:val="BodyText"/>
      </w:pPr>
      <w:r>
        <w:t xml:space="preserve">Martin, Richard (2014).</w:t>
      </w:r>
      <w:r>
        <w:t xml:space="preserve"> </w:t>
      </w:r>
      <w:r>
        <w:rPr>
          <w:i/>
          <w:iCs/>
        </w:rPr>
        <w:t xml:space="preserve">The Architecture of David Lynch</w:t>
      </w:r>
      <w:r>
        <w:t xml:space="preserve">. Londres: Bloomsbury Academic.</w:t>
      </w:r>
    </w:p>
    <w:p>
      <w:pPr>
        <w:pStyle w:val="BodyText"/>
      </w:pPr>
      <w:r>
        <w:t xml:space="preserve">Pareyson, Luigi (2002 [1954]).</w:t>
      </w:r>
      <w:r>
        <w:t xml:space="preserve"> </w:t>
      </w:r>
      <w:r>
        <w:rPr>
          <w:i/>
          <w:iCs/>
        </w:rPr>
        <w:t xml:space="preserve">Estetica. Teoria della formatività</w:t>
      </w:r>
      <w:r>
        <w:t xml:space="preserve">. Milán: Bompiani.</w:t>
      </w:r>
    </w:p>
    <w:p>
      <w:pPr>
        <w:pStyle w:val="BodyText"/>
      </w:pPr>
      <w:r>
        <w:t xml:space="preserve">Salazar Sánchez, Cristian Gonzalo y Cárcamo Pino, Mauricio Arnoldo (2021).</w:t>
      </w:r>
      <w:r>
        <w:t xml:space="preserve"> </w:t>
      </w:r>
      <w:r>
        <w:t xml:space="preserve">“Acerca del</w:t>
      </w:r>
      <w:r>
        <w:t xml:space="preserve"> </w:t>
      </w:r>
      <w:r>
        <w:t xml:space="preserve">‘lenguaje’</w:t>
      </w:r>
      <w:r>
        <w:t xml:space="preserve"> </w:t>
      </w:r>
      <w:r>
        <w:t xml:space="preserve">de las manos (manuaje). Una conversación con Mauricio Cárcamo”</w:t>
      </w:r>
      <w:r>
        <w:t xml:space="preserve">.</w:t>
      </w:r>
      <w:r>
        <w:t xml:space="preserve"> </w:t>
      </w:r>
      <w:r>
        <w:rPr>
          <w:i/>
          <w:iCs/>
        </w:rPr>
        <w:t xml:space="preserve">Arte, Individuo y Sociedad</w:t>
      </w:r>
      <w:r>
        <w:t xml:space="preserve">, 33(4): 1481-1487.</w:t>
      </w:r>
    </w:p>
    <w:p>
      <w:pPr>
        <w:pStyle w:val="BodyText"/>
      </w:pPr>
      <w:r>
        <w:t xml:space="preserve">Schmarsow, August (1994 [1893]).</w:t>
      </w:r>
      <w:r>
        <w:t xml:space="preserve"> </w:t>
      </w:r>
      <w:r>
        <w:t xml:space="preserve">“The Essence of Architectural Creation”</w:t>
      </w:r>
      <w:r>
        <w:t xml:space="preserve">. En Harry Francis Mallgrave y Eleftherios Ikonomou (eds.),</w:t>
      </w:r>
      <w:r>
        <w:t xml:space="preserve"> </w:t>
      </w:r>
      <w:r>
        <w:rPr>
          <w:i/>
          <w:iCs/>
        </w:rPr>
        <w:t xml:space="preserve">Empathy, Form, and Space: Problems in German Aesthetics, 1873-1893</w:t>
      </w:r>
      <w:r>
        <w:t xml:space="preserve">. Los Ángeles: Getty Center for the History of Art and the Humanities: 281-297.</w:t>
      </w:r>
    </w:p>
    <w:p>
      <w:pPr>
        <w:pStyle w:val="BodyText"/>
      </w:pPr>
      <w:r>
        <w:t xml:space="preserve">Shonfield, Katherine (2000).</w:t>
      </w:r>
      <w:r>
        <w:t xml:space="preserve"> </w:t>
      </w:r>
      <w:r>
        <w:rPr>
          <w:i/>
          <w:iCs/>
        </w:rPr>
        <w:t xml:space="preserve">Walls Have Feelings: Architecture, Film and the City</w:t>
      </w:r>
      <w:r>
        <w:t xml:space="preserve">. Londres: Routledge.</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Vidler, Anthony (1992).</w:t>
      </w:r>
      <w:r>
        <w:t xml:space="preserve"> </w:t>
      </w:r>
      <w:r>
        <w:rPr>
          <w:i/>
          <w:iCs/>
        </w:rPr>
        <w:t xml:space="preserve">The Architectural Uncanny: Essays in the Modern Unhomely</w:t>
      </w:r>
      <w:r>
        <w:t xml:space="preserve">. Cambridge, MA: MIT Press.</w:t>
      </w:r>
    </w:p>
    <w:p>
      <w:pPr>
        <w:pStyle w:val="BodyText"/>
      </w:pPr>
      <w:r>
        <w:t xml:space="preserve">Worringer, Wilhelm (1953 [1908]).</w:t>
      </w:r>
      <w:r>
        <w:t xml:space="preserve"> </w:t>
      </w:r>
      <w:r>
        <w:rPr>
          <w:i/>
          <w:iCs/>
        </w:rPr>
        <w:t xml:space="preserve">Abstracción y naturaleza</w:t>
      </w:r>
      <w:r>
        <w:t xml:space="preserve">. México: Fondo de Cultura Económica.</w:t>
      </w:r>
    </w:p>
    <w:bookmarkEnd w:id="20"/>
    <w:bookmarkEnd w:id="21"/>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⟦Formación y grado académico⟧. ⟦Adscripción institucional⟧. ⟦Principales publicaciones⟧. Correo electrónico: ⟦correo⟧. ⟦Ciudad⟧, ⟦país⟧. (Máximo 100 palabras).</w:t>
      </w:r>
    </w:p>
  </w:footnote>
  <w:footnote w:id="10">
    <w:p>
      <w:pPr>
        <w:pStyle w:val="FootnoteText"/>
      </w:pPr>
      <w:r>
        <w:rPr>
          <w:rStyle w:val="FootnoteReference"/>
        </w:rPr>
        <w:footnoteRef/>
      </w:r>
      <w:r>
        <w:t xml:space="preserve"> </w:t>
      </w:r>
      <w:r>
        <w:t xml:space="preserve">Las traducciones de las citas en inglés y en portugués son nuestras.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2026-09-25T06:38:14Z</dcterms:created>
  <dcterms:modified xsi:type="dcterms:W3CDTF">2026-09-25T06:38:14Z</dcterms:modified>
</cp:coreProperties>
</file>

<file path=docProps/custom.xml><?xml version="1.0" encoding="utf-8"?>
<Properties xmlns="http://schemas.openxmlformats.org/officeDocument/2006/custom-properties" xmlns:vt="http://schemas.openxmlformats.org/officeDocument/2006/docPropsVTypes"/>
</file>