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83b9038d5fc7da7cd10d4024bb014ac454e9d4"/>
    <w:p>
      <w:pPr>
        <w:pStyle w:val="Heading1"/>
      </w:pPr>
      <w:r>
        <w:t xml:space="preserve">Cosecha de piedras: el ayllu, el Estado y la mina. Dibujando</w:t>
      </w:r>
      <w:r>
        <w:t xml:space="preserve"> </w:t>
      </w:r>
      <w:r>
        <w:rPr>
          <w:i/>
          <w:iCs/>
        </w:rPr>
        <w:t xml:space="preserve">Altiplano</w:t>
      </w:r>
      <w:r>
        <w:t xml:space="preserve"> </w:t>
      </w:r>
      <w:r>
        <w:t xml:space="preserve">de Raúl Botelho Gosálvez</w:t>
      </w:r>
    </w:p>
    <w:p>
      <w:pPr>
        <w:pStyle w:val="FirstParagraph"/>
      </w:pPr>
      <w:r>
        <w:rPr>
          <w:b/>
          <w:bCs/>
        </w:rPr>
        <w:t xml:space="preserve">Harvest of Stones: The Ayllu, the State and the Mine. Drawing Raúl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parte de tres premisas. En</w:t>
      </w:r>
      <w:r>
        <w:t xml:space="preserve"> </w:t>
      </w:r>
      <w:r>
        <w:rPr>
          <w:i/>
          <w:iCs/>
        </w:rPr>
        <w:t xml:space="preserve">Altiplano</w:t>
      </w:r>
      <w:r>
        <w:t xml:space="preserve">, el saber sobre el espacio es material: piedra, adobe, paja y papel. El dibujo, que obliga a decidir punto de vista, escala y límite, deja a la vista las categorías que el lector proyecta. Y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 La palabra</w:t>
      </w:r>
      <w:r>
        <w:t xml:space="preserve"> </w:t>
      </w:r>
      <w:r>
        <w:rPr>
          <w:i/>
          <w:iCs/>
        </w:rPr>
        <w:t xml:space="preserve">manuaje</w:t>
      </w:r>
      <w:r>
        <w:t xml:space="preserve"> </w:t>
      </w:r>
      <w:r>
        <w:t xml:space="preserve">tiene antecedentes, que Cárcamo Pino repasa. Uno es el de Randall McLeod, que llamó</w:t>
      </w:r>
      <w:r>
        <w:t xml:space="preserve"> </w:t>
      </w:r>
      <w:r>
        <w:rPr>
          <w:i/>
          <w:iCs/>
        </w:rPr>
        <w:t xml:space="preserve">manuage</w:t>
      </w:r>
      <w:r>
        <w:t xml:space="preserve"> </w:t>
      </w:r>
      <w:r>
        <w:t xml:space="preserve">al idioma de los</w:t>
      </w:r>
      <w:r>
        <w:t xml:space="preserve"> </w:t>
      </w:r>
      <w:r>
        <w:rPr>
          <w:i/>
          <w:iCs/>
        </w:rPr>
        <w:t xml:space="preserve">choughs</w:t>
      </w:r>
      <w:r>
        <w:t xml:space="preserve"> </w:t>
      </w:r>
      <w:r>
        <w:t xml:space="preserve">en</w:t>
      </w:r>
      <w:r>
        <w:t xml:space="preserve"> </w:t>
      </w:r>
      <w:r>
        <w:rPr>
          <w:i/>
          <w:iCs/>
        </w:rPr>
        <w:t xml:space="preserve">All’s Well That Ends Well</w:t>
      </w:r>
      <w:r>
        <w:t xml:space="preserve">,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Alcalde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 Los arquitectos Xavier Monteys y Pere Fuertes reconocen ese saber en quienes habitan las casas: su acción sobre la arquitectura, «lenta y sistemática», expresa «una opinión no escrita pero de innegable valor» (Monteys y Fuertes, 2001: 26).</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w:t>
      </w:r>
      <w:r>
        <w:t xml:space="preserve"> </w:t>
      </w:r>
      <w:r>
        <w:rPr>
          <w:i/>
          <w:iCs/>
        </w:rPr>
        <w:t xml:space="preserve">ensamblaje</w:t>
      </w:r>
      <w:r>
        <w:t xml:space="preserve"> </w:t>
      </w:r>
      <w:r>
        <w:t xml:space="preserve">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 Monteys y Fuertes llaman</w:t>
      </w:r>
      <w:r>
        <w:t xml:space="preserve"> </w:t>
      </w:r>
      <w:r>
        <w:rPr>
          <w:i/>
          <w:iCs/>
        </w:rPr>
        <w:t xml:space="preserve">casa collage</w:t>
      </w:r>
      <w:r>
        <w:t xml:space="preserve"> </w:t>
      </w:r>
      <w:r>
        <w:t xml:space="preserve">a una casa hecha así, de ideas reunidas, que «no cabe en una sola casa» (Monteys y Fuertes, 2001: 12).</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pPr>
      <w:r>
        <w:drawing>
          <wp:inline>
            <wp:extent cx="5039999" cy="3383999"/>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w:t>
      </w:r>
      <w:r>
        <w:t xml:space="preserve"> </w:t>
      </w:r>
      <w:r>
        <w:rPr>
          <w:i/>
          <w:iCs/>
        </w:rPr>
        <w:t xml:space="preserve">gradiente de intimidad</w:t>
      </w:r>
      <w:r>
        <w:t xml:space="preserve"> </w:t>
      </w:r>
      <w:r>
        <w:t xml:space="preserve">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pPr>
      <w: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w:t>
      </w:r>
      <w:r>
        <w:t xml:space="preserve"> </w:t>
      </w:r>
      <w:r>
        <w:rPr>
          <w:i/>
          <w:iCs/>
        </w:rPr>
        <w:t xml:space="preserve">hogar</w:t>
      </w:r>
      <w:r>
        <w:t xml:space="preserve"> </w:t>
      </w:r>
      <w:r>
        <w:t xml:space="preserve">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Una canción de The Voidz lleva un título que describe ese edificio: «Pyramid of Bones», pirámide de huesos (The Voidz, 2018). Arriba, el blasón; abajo, el hambre, la persecución y la muerte. El capítulo cierra con una fórmula: «Así los Villca, Huanca y Condori, son las generaciones del Signo Escalonado» (Botelho Gosálvez, 1982 [1945]: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alias «el lobo»,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BodyText"/>
      </w:pPr>
      <w: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Cárcamo Pino explica la madera con «el imaginario de los tres cerditos» (Cárcamo Pino, 2025a: 8). En Umacachi el cuento es otro: el lobo no sopla ninguna casa, firma. 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w:t>
      </w:r>
      <w:r>
        <w:t xml:space="preserve"> </w:t>
      </w:r>
      <w:r>
        <w:rPr>
          <w:i/>
          <w:iCs/>
        </w:rPr>
        <w:t xml:space="preserve">casa difusa</w:t>
      </w:r>
      <w:r>
        <w:t xml:space="preserve"> </w:t>
      </w:r>
      <w:r>
        <w:t xml:space="preserve">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pPr>
      <w:r>
        <w:drawing>
          <wp:inline>
            <wp:extent cx="5039999" cy="3599999"/>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La huella es un</w:t>
      </w:r>
      <w:r>
        <w:t xml:space="preserve"> </w:t>
      </w:r>
      <w:r>
        <w:rPr>
          <w:i/>
          <w:iCs/>
        </w:rPr>
        <w:t xml:space="preserve">índice</w:t>
      </w:r>
      <w:r>
        <w:t xml:space="preserve"> </w:t>
      </w:r>
      <w:r>
        <w:t xml:space="preserve">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w:t>
      </w:r>
      <w:r>
        <w:t xml:space="preserve"> </w:t>
      </w:r>
      <w:r>
        <w:rPr>
          <w:i/>
          <w:iCs/>
        </w:rPr>
        <w:t xml:space="preserve">fotomontaje</w:t>
      </w:r>
      <w:r>
        <w:t xml:space="preserve">,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 y reunir sus pedazos en una hoja, una collage.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pPr>
      <w:r>
        <w:drawing>
          <wp:inline>
            <wp:extent cx="3839999" cy="575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9"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 155), y la palabra</w:t>
      </w:r>
      <w:r>
        <w:t xml:space="preserve"> </w:t>
      </w:r>
      <w:r>
        <w:rPr>
          <w:i/>
          <w:iCs/>
        </w:rPr>
        <w:t xml:space="preserve">cola</w:t>
      </w:r>
      <w: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(Alexander et al., 1977: xiii). 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 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7" name="Picture"/>
            <a:graphic>
              <a:graphicData uri="http://schemas.openxmlformats.org/drawingml/2006/picture">
                <pic:pic>
                  <pic:nvPicPr>
                    <pic:cNvPr descr="figuras/figura_7.png" id="38" name="Picture"/>
                    <pic:cNvPicPr>
                      <a:picLocks noChangeArrowheads="1" noChangeAspect="1"/>
                    </pic:cNvPicPr>
                  </pic:nvPicPr>
                  <pic:blipFill>
                    <a:blip r:embed="rId36"/>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9"/>
    <w:bookmarkStart w:id="43"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1" name="Picture"/>
            <a:graphic>
              <a:graphicData uri="http://schemas.openxmlformats.org/drawingml/2006/picture">
                <pic:pic>
                  <pic:nvPicPr>
                    <pic:cNvPr descr="figuras/figura_8.png" id="42" name="Picture"/>
                    <pic:cNvPicPr>
                      <a:picLocks noChangeArrowheads="1" noChangeAspect="1"/>
                    </pic:cNvPicPr>
                  </pic:nvPicPr>
                  <pic:blipFill>
                    <a:blip r:embed="rId40"/>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Alexander, la collage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w:t>
      </w:r>
      <w:r>
        <w:t xml:space="preserve"> </w:t>
      </w:r>
      <w:r>
        <w:rPr>
          <w:i/>
          <w:iCs/>
        </w:rPr>
        <w:t xml:space="preserve">décollage</w:t>
      </w:r>
      <w:r>
        <w:t xml:space="preserve"> </w:t>
      </w:r>
      <w:r>
        <w:t xml:space="preserve">que despega lo que la memoria pegó,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3"/>
    <w:bookmarkStart w:id="44"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4"/>
    <w:bookmarkStart w:id="45" w:name="bibliografía"/>
    <w:p>
      <w:pPr>
        <w:pStyle w:val="Heading2"/>
      </w:pPr>
      <w:r>
        <w:t xml:space="preserve">Bibliografía</w:t>
      </w:r>
    </w:p>
    <w:p>
      <w:pPr>
        <w:pStyle w:val="FirstParagraph"/>
      </w:pPr>
      <w:r>
        <w:t xml:space="preserve">Alexander, Christopher; Ishikawa, Sara y Silverstein, Murray (1977).</w:t>
      </w:r>
      <w:r>
        <w:t xml:space="preserve"> </w:t>
      </w:r>
      <w:r>
        <w:rPr>
          <w:i/>
          <w:iCs/>
        </w:rPr>
        <w:t xml:space="preserve">A Pattern Language. Towns, Buildings, Construction</w:t>
      </w:r>
      <w:r>
        <w:t xml:space="preserve">. Nueva York: Oxford University Press.</w:t>
      </w:r>
    </w:p>
    <w:p>
      <w:pPr>
        <w:pStyle w:val="BodyText"/>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Bachelard, Gaston (1983 [1957]).</w:t>
      </w:r>
      <w:r>
        <w:t xml:space="preserve"> </w:t>
      </w:r>
      <w:r>
        <w:rPr>
          <w:i/>
          <w:iCs/>
        </w:rPr>
        <w:t xml:space="preserve">La poética del espacio</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Fuão, Fernando Freitas (2011).</w:t>
      </w:r>
      <w:r>
        <w:t xml:space="preserve"> </w:t>
      </w:r>
      <w:r>
        <w:rPr>
          <w:i/>
          <w:iCs/>
        </w:rPr>
        <w:t xml:space="preserve">A collage como trajetória amorosa</w:t>
      </w:r>
      <w:r>
        <w:t xml:space="preserve">. Porto Alegre: Editora da UFRGS.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Monteys, Xavier y Fuertes, Pere (2001).</w:t>
      </w:r>
      <w:r>
        <w:t xml:space="preserve"> </w:t>
      </w:r>
      <w:r>
        <w:rPr>
          <w:i/>
          <w:iCs/>
        </w:rPr>
        <w:t xml:space="preserve">Casa collage. Un ensayo sobre la arquitectura de la casa</w:t>
      </w:r>
      <w:r>
        <w:t xml:space="preserve">. Barcelona: Gustavo Gili.</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The Voidz (2018).</w:t>
      </w:r>
      <w:r>
        <w:t xml:space="preserve"> </w:t>
      </w:r>
      <w:r>
        <w:rPr>
          <w:i/>
          <w:iCs/>
        </w:rPr>
        <w:t xml:space="preserve">Virtue</w:t>
      </w:r>
      <w:r>
        <w:t xml:space="preserve"> </w:t>
      </w:r>
      <w:r>
        <w:t xml:space="preserve">[álbum]. Cult Records y RCA Records. Pistas 3, «Pyramid of Bones», y 7, «All Wordz Are Made Up».</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5"/>
    <w:bookmarkEnd w:id="46"/>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w:t>
      </w:r>
      <w:r>
        <w:t xml:space="preserve"> </w:t>
      </w:r>
      <w:r>
        <w:rPr>
          <w:i/>
          <w:iCs/>
        </w:rPr>
        <w:t xml:space="preserve">décollage</w:t>
      </w:r>
      <w:r>
        <w:t xml:space="preserve"> </w:t>
      </w:r>
      <w:r>
        <w:t xml:space="preserve">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2026-10-10T18:02:27Z</dcterms:created>
  <dcterms:modified xsi:type="dcterms:W3CDTF">2026-10-10T18:02:27Z</dcterms:modified>
</cp:coreProperties>
</file>

<file path=docProps/custom.xml><?xml version="1.0" encoding="utf-8"?>
<Properties xmlns="http://schemas.openxmlformats.org/officeDocument/2006/custom-properties" xmlns:vt="http://schemas.openxmlformats.org/officeDocument/2006/docPropsVTypes"/>
</file>