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283b9038d5fc7da7cd10d4024bb014ac454e9d4"/>
    <w:p>
      <w:pPr>
        <w:pStyle w:val="Heading1"/>
      </w:pPr>
      <w:r>
        <w:t xml:space="preserve">Cosecha de piedras: el ayllu, el Estado y la mina. Dibujando</w:t>
      </w:r>
      <w:r>
        <w:t xml:space="preserve"> </w:t>
      </w:r>
      <w:r>
        <w:rPr>
          <w:i/>
          <w:iCs/>
        </w:rPr>
        <w:t xml:space="preserve">Altiplano</w:t>
      </w:r>
      <w:r>
        <w:t xml:space="preserve"> </w:t>
      </w:r>
      <w:r>
        <w:t xml:space="preserve">de Raúl Botelho Gosálvez</w:t>
      </w:r>
    </w:p>
    <w:p>
      <w:pPr>
        <w:pStyle w:val="FirstParagraph"/>
      </w:pPr>
      <w:r>
        <w:rPr>
          <w:b/>
          <w:bCs/>
        </w:rPr>
        <w:t xml:space="preserve">Harvest of Stones: The Ayllu, the State and the Mine. Drawing Raúl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[2011]: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Fernando Freitas Fuão, arquitecto que ha pensado la collage, cita al poeta checo Jiří Kolář: «En la vida nos cubrimos con una acumulación de papeles invisibles, donde cada capa nos hace olvidar la anterior» (Fuão, 2011: 43). El argumento cabe en tres materiales. El ayllu marca su tierra con piedras: despeja, amontona, cerca y amojona. En la aldea, el Estado la reescribe con papeles: títulos, expedientes, ordenanzas. La mina convierte el mismo gesto en mercancía con máquinas. Como en el juego de piedra, papel o tijera, el papel le gana a la piedra por regla, no por peso: ante la ley, un mojón no vale lo que un título. Fuão cuenta esa sucesión como una historia de los fragmentos: para los románticos, los fragmentos «estaban hechos básicamente de piedra» y miraban al pasado, a las ruinas; para los modernos son los del cotidiano: los «engranajes», las «reproducciones mecánicas», los «papeles» (ibid.: 14). En Jatun-Kolla, en cambio, la piedra no es ruina, sino posesión presente.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parte de tres premisas. En</w:t>
      </w:r>
      <w:r>
        <w:t xml:space="preserve"> </w:t>
      </w:r>
      <w:r>
        <w:rPr>
          <w:i/>
          <w:iCs/>
        </w:rPr>
        <w:t xml:space="preserve">Altiplano</w:t>
      </w:r>
      <w:r>
        <w:t xml:space="preserve">, el saber sobre el espacio es material: piedra, adobe, paja y papel. El dibujo, que obliga a decidir punto de vista, escala y límite, deja a la vista las categorías que el lector proyecta. Y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8"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[1966]: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 Y, como muestra Carolyn Dean para los incas, volverse piedra no era morir: «la petrificación señalaba la suspensión, pero no el fin, de la vida» (Dean, 2010: 5).</w:t>
      </w:r>
    </w:p>
    <w:p>
      <w:pPr>
        <w:pStyle w:val="BodyText"/>
      </w:pPr>
      <w:r>
        <w:t xml:space="preserve">¿Con qué leer, entonces? Con las manos. De las imágenes de la materia, Gaston Bachelard escribió: «La vista las nombra, pero la mano las conoce» (Bachelard, 1978 [1942]: 7-8, cit. en Pallasmaa, 2014 [2011]: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Tampoco era nueva la escritura en manos andinas: en 1615, Felipe Guaman Poma de Ayala dibujó a un escribano andino del cabildo, el</w:t>
      </w:r>
      <w:r>
        <w:t xml:space="preserve"> </w:t>
      </w:r>
      <w:r>
        <w:rPr>
          <w:i/>
          <w:iCs/>
        </w:rPr>
        <w:t xml:space="preserve">qilqay kamayuq</w:t>
      </w:r>
      <w:r>
        <w:t xml:space="preserve">, que redacta un testamento (Guaman Poma de Ayala, 1615: 814 [828]; Imagen 1).</w:t>
      </w:r>
      <w:r>
        <w:rPr>
          <w:rStyle w:val="FootnoteReference"/>
        </w:rPr>
        <w:footnoteReference w:id="13"/>
      </w:r>
      <w:r>
        <w:t xml:space="preserve"> </w:t>
      </w:r>
      <w:r>
        <w:t xml:space="preserve">La pregunta no es si la mano o el papel, sino qué prácticas se autorizan y cuáles quedaron «minusvaloradas, invisibilizadas» por el «monopolio de la escritura y el lenguaje» (Cárcamo Pino, 2025b: 259). Los arquitectos Xavier Monteys y Pere Fuertes reconocen ese saber en quienes habitan las casas: su acción sobre la arquitectura, «lenta y sistemática», expresa «una opinión no escrita pero de innegable valor» (Monteys y Fuertes, 2001: 26).</w:t>
      </w:r>
    </w:p>
    <w:p>
      <w:pPr>
        <w:pStyle w:val="Figura"/>
      </w:pPr>
      <w:r>
        <w:drawing>
          <wp:inline>
            <wp:extent cx="2493854" cy="3599999"/>
            <wp:effectExtent b="0" l="0" r="0" t="0"/>
            <wp:docPr descr="" title="" id="15" name="Picture"/>
            <a:graphic>
              <a:graphicData uri="http://schemas.openxmlformats.org/drawingml/2006/picture">
                <pic:pic>
                  <pic:nvPicPr>
                    <pic:cNvPr descr="figuras/imagen_1.jpg" id="16" name="Picture"/>
                    <pic:cNvPicPr>
                      <a:picLocks noChangeArrowheads="1" noChangeAspect="1"/>
                    </pic:cNvPicPr>
                  </pic:nvPicPr>
                  <pic:blipFill>
                    <a:blip r:embed="rId14"/>
                    <a:stretch>
                      <a:fillRect/>
                    </a:stretch>
                  </pic:blipFill>
                  <pic:spPr bwMode="auto">
                    <a:xfrm>
                      <a:off x="0" y="0"/>
                      <a:ext cx="2493854" cy="3599999"/>
                    </a:xfrm>
                    <a:prstGeom prst="rect">
                      <a:avLst/>
                    </a:prstGeom>
                    <a:noFill/>
                    <a:ln w="9525">
                      <a:noFill/>
                      <a:headEnd/>
                      <a:tailEnd/>
                    </a:ln>
                  </pic:spPr>
                </pic:pic>
              </a:graphicData>
            </a:graphic>
          </wp:inline>
        </w:drawing>
      </w:r>
    </w:p>
    <w:p>
      <w:pPr>
        <w:pStyle w:val="Piedefigura"/>
      </w:pPr>
      <w:r>
        <w:rPr>
          <w:b/>
          <w:bCs/>
        </w:rPr>
        <w:t xml:space="preserve">Imagen 1.</w:t>
      </w:r>
      <w:r>
        <w:t xml:space="preserve"> </w:t>
      </w:r>
      <w:r>
        <w:rPr>
          <w:i/>
          <w:iCs/>
        </w:rPr>
        <w:t xml:space="preserve">Escribano de cabildo</w:t>
      </w:r>
      <w:r>
        <w:t xml:space="preserve">. Dibujo de Felipe Guaman Poma de Ayala,</w:t>
      </w:r>
      <w:r>
        <w:t xml:space="preserve"> </w:t>
      </w:r>
      <w:r>
        <w:rPr>
          <w:i/>
          <w:iCs/>
        </w:rPr>
        <w:t xml:space="preserve">Nueva corónica y buen gobierno</w:t>
      </w:r>
      <w:r>
        <w:t xml:space="preserve">, 1615, p. 814 [828], dibujo 307. Fuente: Det Kgl. Bibliotek, Copenhague, GKS 2232 4º. Dominio público.</w:t>
      </w:r>
    </w:p>
    <w:p>
      <w:pPr>
        <w:pStyle w:val="BodyText"/>
      </w:pPr>
      <w:r>
        <w:t xml:space="preserve">La palabra</w:t>
      </w:r>
      <w:r>
        <w:t xml:space="preserve"> </w:t>
      </w:r>
      <w:r>
        <w:rPr>
          <w:i/>
          <w:iCs/>
        </w:rPr>
        <w:t xml:space="preserve">manuaje</w:t>
      </w:r>
      <w:r>
        <w:t xml:space="preserve"> </w:t>
      </w:r>
      <w:r>
        <w:t xml:space="preserve">tiene antecedentes, que Cárcamo Pino repasa. Uno es el de Randall McLeod, que llamó</w:t>
      </w:r>
      <w:r>
        <w:t xml:space="preserve"> </w:t>
      </w:r>
      <w:r>
        <w:rPr>
          <w:i/>
          <w:iCs/>
        </w:rPr>
        <w:t xml:space="preserve">manuage</w:t>
      </w:r>
      <w:r>
        <w:t xml:space="preserve"> </w:t>
      </w:r>
      <w:r>
        <w:t xml:space="preserve">al idioma de los</w:t>
      </w:r>
      <w:r>
        <w:t xml:space="preserve"> </w:t>
      </w:r>
      <w:r>
        <w:rPr>
          <w:i/>
          <w:iCs/>
        </w:rPr>
        <w:t xml:space="preserve">choughs</w:t>
      </w:r>
      <w:r>
        <w:t xml:space="preserve"> </w:t>
      </w:r>
      <w:r>
        <w:t xml:space="preserve">en</w:t>
      </w:r>
      <w:r>
        <w:t xml:space="preserve"> </w:t>
      </w:r>
      <w:r>
        <w:rPr>
          <w:i/>
          <w:iCs/>
        </w:rPr>
        <w:t xml:space="preserve">All’s Well That Ends Well</w:t>
      </w:r>
      <w:r>
        <w:t xml:space="preserve">, de Shakespeare: un idioma «inventado in situ por los personajes» y hecho «con la mano de Shakespeare, no con la boca» (Cárcamo Pino, 2025b: 241-242). La banda The Voidz, de Julian Casablancas, lleva la idea al extremo en el título de una canción: «All Wordz Are Made Up», todas las palabras son inventadas (The Voidz, 2018). Inventar no es mentir, es hacer. Hechas fueron la ordenanza del doctor Mendoza y la genealogía imperial que se atribuyen los Villca, y también los títulos coloniales que las comunidades desenterraron para litigar (Rivera Cusicanqui, 2010 [1984]: 99). Lo que las separa no es que unas palabras sean inventadas y otras no, sino quién logra que las suyas valgan como ley.</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 Se parecen también a los dibujos que, según cuentan Monteys y Fuertes, hizo Gordon Cullen para los edificios de Berthold Lubetkin: no servían para medir, sino que «mostraban cómo construir, montar o incluso reparar», e incluían «personas haciendo cosas» (Monteys y Fuertes, 2001: 128, 132). Por eso cada esquema anota, junto al trazo, lo que hace la mano.</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w:t>
      </w:r>
      <w:r>
        <w:t xml:space="preserve"> </w:t>
      </w:r>
      <w:r>
        <w:rPr>
          <w:i/>
          <w:iCs/>
        </w:rPr>
        <w:t xml:space="preserve">ensamblaje</w:t>
      </w:r>
      <w:r>
        <w:t xml:space="preserve"> </w:t>
      </w:r>
      <w:r>
        <w:t xml:space="preserve">tiene una teoría propia: la de la collage. Fuão la describe en cuatro tiempos: el recorte, los fragmentos o figuras, los encuentros y la cola. Lo decisivo no está en cortar ni en pegar, sino en el «intervalo» entre ambos, cuando las figuras recortadas se prueban unas junto a otras «antes de que la cola las fije» (Fuão, 2011: 8, 52). Allí se toman las decisiones del dibujo. Fuão pone además una condición que este trabajo adopta: se pueden juntar figuras e ideas lejanas, pero «con la condición de que haya una referencia explícita» que permita la analogía (ibid.: 53).</w:t>
      </w:r>
      <w:r>
        <w:rPr>
          <w:rStyle w:val="FootnoteReference"/>
        </w:rPr>
        <w:footnoteReference w:id="17"/>
      </w:r>
      <w:r>
        <w:t xml:space="preserve"> </w:t>
      </w:r>
      <w:r>
        <w:t xml:space="preserve">El artículo reproduce, además, cinco imágenes de dominio público, en serie aparte de las figuras (imágenes 1-5). Cumplen esa condición: cada una va junto al pasaje que la pide, y no ilustra la novela, sino que muestra lo que calla o aquello con lo que contrasta. Monteys y Fuertes llaman</w:t>
      </w:r>
      <w:r>
        <w:t xml:space="preserve"> </w:t>
      </w:r>
      <w:r>
        <w:rPr>
          <w:i/>
          <w:iCs/>
        </w:rPr>
        <w:t xml:space="preserve">casa collage</w:t>
      </w:r>
      <w:r>
        <w:t xml:space="preserve"> </w:t>
      </w:r>
      <w:r>
        <w:t xml:space="preserve">a una casa hecha así, de ideas reunidas, que «no cabe en una sola casa» (Monteys y Fuertes, 2001: 12).</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8"/>
    <w:bookmarkStart w:id="28"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Es lo que Monteys y Fuertes piden a la cocina moderna: que no esconda sus utensilios, sino que los cuelgue a la vista, hasta que «ella misma deviene utensilio» (Monteys y Fuertes, 2001: 112). Para ellos, «una casa es una vivienda más la gente que la habita y los objetos que guarda» (ibid.: 14), y para Christopher Alexander un cuarto vale cuando deja ver «las cosas que cuentan tu historia» (Alexander et al., 1977: 1166). De las vigas cuelgan también «los ponchos y rebozos para los días de fiesta», y los charangos esperan «la mano que les acaricie» (Botelho Gosálvez, 1982 [1945]: 31). El narrador, en cambio, entra como un intruso que no habita, sino que escribe: los camastros son «morada de piojos y pulgas» (ibid.). Pallasmaa recuerda que «la casa es una metáfora del cuerpo y el cuerpo una metáfora de la casa» (Pallasmaa, 2014 [2011]: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en cuclillas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el del narrador, intruso en la puerta, y el del cuerpo que habita, al que remiten el hollín, los camastros y las herramientas. El corte elige el segundo y se detiene ante el alma de los comunarios, para no hablar por ellos. Es, además, una manera antigua de mostrar una casa con su vida dentro: las casas de muñecas «eliminan una pared» para enseñar los objetos que guardan y las relaciones entre sus ámbitos (Monteys y Fuertes, 2001: 30), y la pintura medieval suprimía las fachadas para volverse narrativa (Fuão, 2011: 43). Mirar en cuclillas es mirar la casa «en reposo», «desde el punto de vista de quien va a usarla» (Monteys y Fuertes, 2001: 58), y no desde el recorrido del intruso. El narrador, en cambio, la declara cerrada, «nadie podía entrar», y los ve como estatuas de «hierático aspecto» (Botelho Gosálvez, 1982 [1945]: 65).</w:t>
      </w:r>
    </w:p>
    <w:p>
      <w:pPr>
        <w:pStyle w:val="Figura"/>
      </w:pPr>
      <w:r>
        <w:drawing>
          <wp:inline>
            <wp:extent cx="5039999" cy="3383999"/>
            <wp:effectExtent b="0" l="0" r="0" t="0"/>
            <wp:docPr descr="" title="" id="20" name="Picture"/>
            <a:graphic>
              <a:graphicData uri="http://schemas.openxmlformats.org/drawingml/2006/picture">
                <pic:pic>
                  <pic:nvPicPr>
                    <pic:cNvPr descr="figuras/figura_1.png" id="21" name="Picture"/>
                    <pic:cNvPicPr>
                      <a:picLocks noChangeArrowheads="1" noChangeAspect="1"/>
                    </pic:cNvPicPr>
                  </pic:nvPicPr>
                  <pic:blipFill>
                    <a:blip r:embed="rId19"/>
                    <a:stretch>
                      <a:fillRect/>
                    </a:stretch>
                  </pic:blipFill>
                  <pic:spPr bwMode="auto">
                    <a:xfrm>
                      <a:off x="0" y="0"/>
                      <a:ext cx="5039999" cy="3383999"/>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El narrador tampoco le ve cuartos: «Las chujllas no tienen cuartos ni mucho menos» (ibid.: 30). Pero los Huanca viven en «tres chujllas de adobe y paja brava que rodean al patio» (ibid.): los cuartos son las chujllas. De noche, los hijos mayores están en las chozas próximas y entran en la del padre cuando él los llama (ibid.: 31). Alexander y su equipo, que estudiaron en detalle casas populares peruanas, llaman</w:t>
      </w:r>
      <w:r>
        <w:t xml:space="preserve"> </w:t>
      </w:r>
      <w:r>
        <w:rPr>
          <w:i/>
          <w:iCs/>
        </w:rPr>
        <w:t xml:space="preserve">gradiente de intimidad</w:t>
      </w:r>
      <w:r>
        <w:t xml:space="preserve"> </w:t>
      </w:r>
      <w:r>
        <w:t xml:space="preserve">a ese orden de lo público a lo íntimo, en el que cada persona «sabe exactamente hasta dónde puede penetrar en la casa» (Alexander et al., 1977: 610-611). Monteys y Fuertes describen, sin conocerla, la casa de los Huanca: una casa que es «el resultado de una operación de agregación, más que de una subdivisión del espacio hasta convertirlo en distintas piezas especializadas» (Monteys y Fuertes, 2001: 56). Y para Alexander todos los patrones de una casa caben, superpuestos, «en una simple cabaña de una sola habitación» (Alexander et al., 1977: xliii). Donde el narrador ve una madriguera, ellos verían una casa comprimida.</w:t>
      </w:r>
    </w:p>
    <w:p>
      <w:pPr>
        <w:pStyle w:val="BodyText"/>
      </w:pPr>
      <w:r>
        <w:t xml:space="preserve">En el centro de esa casa está el fuego. Los braseros arden «en el centro del cuarto» (Botelho Gosálvez, 1982 [1945]: 30), y en cuclillas, «cerca del fuego», Paulo Huanca reúne a sus hijos para decidir quién se va (ibid.: 32). Para Alexander, lo más básico de un lugar común es «la comida y el fuego» (Alexander et al., 1977: 621). Monteys y Fuertes recuerdan que</w:t>
      </w:r>
      <w:r>
        <w:t xml:space="preserve"> </w:t>
      </w:r>
      <w:r>
        <w:rPr>
          <w:i/>
          <w:iCs/>
        </w:rPr>
        <w:t xml:space="preserve">hogar</w:t>
      </w:r>
      <w:r>
        <w:t xml:space="preserve"> </w:t>
      </w:r>
      <w:r>
        <w:t xml:space="preserve">nombra «un modo de domesticar el fuego», y que la casa de origen medieval, «que pervive aun hoy en la tradición rural», no tenía piezas especializadas: en ella «se cocina, se trabaja, se recibe o se duerme, y son los muebles, en lugar de las estancias, los que determinan esos usos» (Monteys y Fuertes, 2001: 104). En la chujlla, el brasero, los camastros contra la pared y las vigas de las que cuelgan las herramientas reparten esos usos. Pero también estas son miradas de fuera, aunque admiren lo que el narrador desprecia: Alexander llama a su gradiente un principio «casi arquetípico» (Alexander et al., 1977: 611), y el arquetipo, como la naturaleza que critica Cornejo Polar, también saca a la chujlla de la historia.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Una canción de The Voidz lleva un título que describe ese edificio: «Pyramid of Bones», pirámide de huesos (The Voidz, 2018). Arriba, el blasón; abajo, los que lo sostienen. El capítulo cierra con una fórmula: «Así los Villca, Huanca y Condori, son las generaciones del Signo Escalonado» (Botelho Gosálvez, 1982 [1945]: 38). El glosario define el término como «Signo sagrado de Tiwanaco» (ibid.: 163). El narrador convierte un signo sagrado en un diagrama de clases, justo lo que advertía Hall.</w:t>
      </w:r>
    </w:p>
    <w:p>
      <w:pPr>
        <w:pStyle w:val="BodyText"/>
      </w:pPr>
      <w:r>
        <w:t xml:space="preserve">Esa mirada tiene un antecedente en el mismo Tiwanaku. En 1877, el viajero estadounidense Ephraim George Squier publicó un grabado de la gran portada monolítica, hecho a partir de sus fotografías: al pie de la piedra, un hombre sentado trabaja un bloque entre las piernas; enfrente esperan los viajeros, con una mula y un rifle (Squier, 1877: 288; Imagen 2). Squier cuenta que un anciano pasaba allí los días labrando una piedra entre las rodillas. Al arriero que le preguntó en aymara qué hacía, le contestó que estaba «tallando una cruz», y los viajeros acabaron por verlo «como parte integrante de los monumentos» (ibid.: 302-303). El viajero vuelve piedra al que trabaja la piedra, como hará el narrador con los comunarios.</w:t>
      </w:r>
    </w:p>
    <w:p>
      <w:pPr>
        <w:pStyle w:val="Figura"/>
      </w:pPr>
      <w:r>
        <w:drawing>
          <wp:inline>
            <wp:extent cx="5039999" cy="3732151"/>
            <wp:effectExtent b="0" l="0" r="0" t="0"/>
            <wp:docPr descr="" title="" id="23" name="Picture"/>
            <a:graphic>
              <a:graphicData uri="http://schemas.openxmlformats.org/drawingml/2006/picture">
                <pic:pic>
                  <pic:nvPicPr>
                    <pic:cNvPr descr="figuras/imagen_2.jpg" id="24" name="Picture"/>
                    <pic:cNvPicPr>
                      <a:picLocks noChangeArrowheads="1" noChangeAspect="1"/>
                    </pic:cNvPicPr>
                  </pic:nvPicPr>
                  <pic:blipFill>
                    <a:blip r:embed="rId22"/>
                    <a:stretch>
                      <a:fillRect/>
                    </a:stretch>
                  </pic:blipFill>
                  <pic:spPr bwMode="auto">
                    <a:xfrm>
                      <a:off x="0" y="0"/>
                      <a:ext cx="5039999" cy="3732151"/>
                    </a:xfrm>
                    <a:prstGeom prst="rect">
                      <a:avLst/>
                    </a:prstGeom>
                    <a:noFill/>
                    <a:ln w="9525">
                      <a:noFill/>
                      <a:headEnd/>
                      <a:tailEnd/>
                    </a:ln>
                  </pic:spPr>
                </pic:pic>
              </a:graphicData>
            </a:graphic>
          </wp:inline>
        </w:drawing>
      </w:r>
    </w:p>
    <w:p>
      <w:pPr>
        <w:pStyle w:val="Piedefigura"/>
      </w:pPr>
      <w:r>
        <w:rPr>
          <w:b/>
          <w:bCs/>
        </w:rPr>
        <w:t xml:space="preserve">Imagen 2.</w:t>
      </w:r>
      <w:r>
        <w:t xml:space="preserve"> </w:t>
      </w:r>
      <w:r>
        <w:rPr>
          <w:i/>
          <w:iCs/>
        </w:rPr>
        <w:t xml:space="preserve">Frente de la gran portada monolítica</w:t>
      </w:r>
      <w:r>
        <w:t xml:space="preserve"> </w:t>
      </w:r>
      <w:r>
        <w:t xml:space="preserve">(Tiwanaku). Grabado a partir de fotografías de E. G. Squier. Fuente: Squier (1877: 288), ejemplar del Getty Research Institute en Internet Archive. Dominio público.</w:t>
      </w:r>
    </w:p>
    <w:p>
      <w:pPr>
        <w:pStyle w:val="BodyText"/>
      </w:pPr>
      <w:r>
        <w:t xml:space="preserve">El mismo capítulo de la novela cuenta cómo se perdió Kero-Pata, el ayllu de origen de Juan Condori. Sus comunarios habían estado «amparados por las Cédulas Reales», hasta que, con la República, «los doctores alto-peruanos les birlaron la tierra» (Botelho Gosálvez, 1982 [1945]: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o mejor, a inscribir: Fuão recuerda que las primeras escrituras fueron incisiones en piedras, en barro y en la piel, y que quien hace collage «no escribe, inscribe», es decir, escribe «en profundidad» (Fuão, 2011: 36).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031999" cy="5759999"/>
            <wp:effectExtent b="0" l="0" r="0" t="0"/>
            <wp:docPr descr="" title="" id="26" name="Picture"/>
            <a:graphic>
              <a:graphicData uri="http://schemas.openxmlformats.org/drawingml/2006/picture">
                <pic:pic>
                  <pic:nvPicPr>
                    <pic:cNvPr descr="figuras/figura_2.png" id="27" name="Picture"/>
                    <pic:cNvPicPr>
                      <a:picLocks noChangeArrowheads="1" noChangeAspect="1"/>
                    </pic:cNvPicPr>
                  </pic:nvPicPr>
                  <pic:blipFill>
                    <a:blip r:embed="rId25"/>
                    <a:stretch>
                      <a:fillRect/>
                    </a:stretch>
                  </pic:blipFill>
                  <pic:spPr bwMode="auto">
                    <a:xfrm>
                      <a:off x="0" y="0"/>
                      <a:ext cx="4031999" cy="5759999"/>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8"/>
    <w:bookmarkStart w:id="32"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alias «el lobo»,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En los Andes, el hilo servía también para registrar: Guaman Poma dibujó a la tejedora y al contador mayor, que llevaba las cuentas del reino en cordeles anudados, los</w:t>
      </w:r>
      <w:r>
        <w:t xml:space="preserve"> </w:t>
      </w:r>
      <w:r>
        <w:rPr>
          <w:i/>
          <w:iCs/>
        </w:rPr>
        <w:t xml:space="preserve">khipus</w:t>
      </w:r>
      <w:r>
        <w:t xml:space="preserve"> </w:t>
      </w:r>
      <w:r>
        <w:t xml:space="preserve">(Guaman Poma de Ayala, 1615: 215 [217], 360 [362]; Imagen 3). Y el despojo no tiene un solo villano. Corregidor, alcalde, intendente y cura son «cuatro patas de la bestia opresora del puneño» (Botelho Gosálvez, 1982 [1945]: 13), y son «cinco gendarmes indios» los que arrastran a Vicente Villca al patio donde lo azotan (ibid.: 101). Alexander explica el papeleo por el tamaño: cuando la gente ya no puede tratarse cara a cara, los reglamentos se cumplen «a ciegas» (Alexander et al., 1977: 405). Umacachi lo desmiente: es una aldea, Vicente trata en persona con el tinterillo y el papel despoja igual. No lo mueve el tamaño, sino la casta.</w:t>
      </w:r>
    </w:p>
    <w:p>
      <w:pPr>
        <w:pStyle w:val="Figura"/>
      </w:pPr>
      <w:r>
        <w:drawing>
          <wp:inline>
            <wp:extent cx="4679999" cy="3552216"/>
            <wp:effectExtent b="0" l="0" r="0" t="0"/>
            <wp:docPr descr="" title="" id="30" name="Picture"/>
            <a:graphic>
              <a:graphicData uri="http://schemas.openxmlformats.org/drawingml/2006/picture">
                <pic:pic>
                  <pic:nvPicPr>
                    <pic:cNvPr descr="figuras/imagen_3.jpg" id="31" name="Picture"/>
                    <pic:cNvPicPr>
                      <a:picLocks noChangeArrowheads="1" noChangeAspect="1"/>
                    </pic:cNvPicPr>
                  </pic:nvPicPr>
                  <pic:blipFill>
                    <a:blip r:embed="rId29"/>
                    <a:stretch>
                      <a:fillRect/>
                    </a:stretch>
                  </pic:blipFill>
                  <pic:spPr bwMode="auto">
                    <a:xfrm>
                      <a:off x="0" y="0"/>
                      <a:ext cx="4679999" cy="3552216"/>
                    </a:xfrm>
                    <a:prstGeom prst="rect">
                      <a:avLst/>
                    </a:prstGeom>
                    <a:noFill/>
                    <a:ln w="9525">
                      <a:noFill/>
                      <a:headEnd/>
                      <a:tailEnd/>
                    </a:ln>
                  </pic:spPr>
                </pic:pic>
              </a:graphicData>
            </a:graphic>
          </wp:inline>
        </w:drawing>
      </w:r>
    </w:p>
    <w:p>
      <w:pPr>
        <w:pStyle w:val="Piedefigura"/>
      </w:pPr>
      <w:r>
        <w:rPr>
          <w:b/>
          <w:bCs/>
        </w:rPr>
        <w:t xml:space="preserve">Imagen 3.</w:t>
      </w:r>
      <w:r>
        <w:t xml:space="preserve"> </w:t>
      </w:r>
      <w:r>
        <w:t xml:space="preserve">a)</w:t>
      </w:r>
      <w:r>
        <w:t xml:space="preserve"> </w:t>
      </w:r>
      <w:r>
        <w:rPr>
          <w:i/>
          <w:iCs/>
        </w:rPr>
        <w:t xml:space="preserve">Tejedora de treinta y tres años</w:t>
      </w:r>
      <w:r>
        <w:t xml:space="preserve"> </w:t>
      </w:r>
      <w:r>
        <w:t xml:space="preserve">(p. 215 [217], dibujo 80). b)</w:t>
      </w:r>
      <w:r>
        <w:t xml:space="preserve"> </w:t>
      </w:r>
      <w:r>
        <w:rPr>
          <w:i/>
          <w:iCs/>
        </w:rPr>
        <w:t xml:space="preserve">Contador mayor y tesorero</w:t>
      </w:r>
      <w:r>
        <w:t xml:space="preserve">, con su</w:t>
      </w:r>
      <w:r>
        <w:t xml:space="preserve"> </w:t>
      </w:r>
      <w:r>
        <w:rPr>
          <w:i/>
          <w:iCs/>
        </w:rPr>
        <w:t xml:space="preserve">khipu</w:t>
      </w:r>
      <w:r>
        <w:t xml:space="preserve"> </w:t>
      </w:r>
      <w:r>
        <w:t xml:space="preserve">(p. 360 [362], dibujo 143). Dibujos de Felipe Guaman Poma de Ayala,</w:t>
      </w:r>
      <w:r>
        <w:t xml:space="preserve"> </w:t>
      </w:r>
      <w:r>
        <w:rPr>
          <w:i/>
          <w:iCs/>
        </w:rPr>
        <w:t xml:space="preserve">Nueva corónica y buen gobierno</w:t>
      </w:r>
      <w:r>
        <w:t xml:space="preserve">, 1615. Fuente: Det Kgl. Bibliotek, Copenhague, GKS 2232 4º. Dominio público.</w:t>
      </w:r>
    </w:p>
    <w:p>
      <w:pPr>
        <w:pStyle w:val="BodyText"/>
      </w:pPr>
      <w:r>
        <w:t xml:space="preserve">Los Villca llegan a la aldea con treinta y cuatro ovejas, y la chola Encarnación, por cincuenta bolivianos, les cede el corral: «Tu familia puede acomodarse en el pesebre» (Botelho Gosálvez, 1982 [1945]: 92). Entonces llega la letra: «Todos los animales de carneo que existen dentro del radio urbano serán requisados […] (Fdo.) Dr. Margarito Mendoza» (ibid.: 96). La firma es la del lobo. El radio urbano funciona como un corral invisible: un círculo trazado en un papel encierra a todos los animales que quedan dentro, y lo cierra una firma. Es un corte en el sentido de Fuão: la tijera, «un instrumento al servicio de la razón», define, y definir es distinguir «entre lo incluido y lo excluido, el dentro y el fuera» (Fuão, 2011: 33-35).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Lo dicen dos versos de «Pyramid of Bones»: «they play the game by different rules, insisting / it’s all equal», juegan con otras reglas e insisten en que todo es igual (The Voidz, 2018).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32"/>
    <w:bookmarkStart w:id="42"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Monteys y Fuertes retoman, para la ciudad, la</w:t>
      </w:r>
      <w:r>
        <w:t xml:space="preserve"> </w:t>
      </w:r>
      <w:r>
        <w:rPr>
          <w:i/>
          <w:iCs/>
        </w:rPr>
        <w:t xml:space="preserve">casa difusa</w:t>
      </w:r>
      <w:r>
        <w:t xml:space="preserve"> </w:t>
      </w:r>
      <w:r>
        <w:t xml:space="preserve">de Gerardo Ragone: «una casa compuesta de piezas dispersas en el territorio» (Monteys y Fuertes, 2001: 146); a su modo, el archipiélago andino era una casa así, y el éxodo, en lugar de extenderla, la deshace. En la apacheta, el viento sacude el poncho de Paulo Huanca «como un gallardete clavado en la ceja de la apacheta», su familia reza de rodillas y las cumbres se alzan «semejantes a fantásticas construcciones góticas» (Botelho Gosálvez, 1982 [1945]: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 Para Fuão, la cola es ese puente sobre «el abismo del recorte»: lo que comunica a los pueblos «separados por las gargantas de los abismos geográficos» (Fuão, 2011: 80).</w:t>
      </w:r>
    </w:p>
    <w:p>
      <w:pPr>
        <w:pStyle w:val="Figura"/>
      </w:pPr>
      <w:r>
        <w:drawing>
          <wp:inline>
            <wp:extent cx="5039999" cy="3599999"/>
            <wp:effectExtent b="0" l="0" r="0" t="0"/>
            <wp:docPr descr="" title="" id="34" name="Picture"/>
            <a:graphic>
              <a:graphicData uri="http://schemas.openxmlformats.org/drawingml/2006/picture">
                <pic:pic>
                  <pic:nvPicPr>
                    <pic:cNvPr descr="figuras/figura_3.png" id="35" name="Picture"/>
                    <pic:cNvPicPr>
                      <a:picLocks noChangeArrowheads="1" noChangeAspect="1"/>
                    </pic:cNvPicPr>
                  </pic:nvPicPr>
                  <pic:blipFill>
                    <a:blip r:embed="rId33"/>
                    <a:stretch>
                      <a:fillRect/>
                    </a:stretch>
                  </pic:blipFill>
                  <pic:spPr bwMode="auto">
                    <a:xfrm>
                      <a:off x="0" y="0"/>
                      <a:ext cx="5039999" cy="3599999"/>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Una vista de la mina de estaño Siglo XX, de Patiño Mines and Enterprises, tomada entre 1940 y 1946, muestra un orden parecido: abajo, junto a las instalaciones, casas mayores con techo a dos aguas; arriba, en la ladera, hileras de viviendas pequeñas e iguales (Imagen 4). La empresa registra a Condori: «Tomaron su identidad e impresiones digitales» (ibid.: 140). Su mano entra en el archivo sin agarrar nada, apoyada como un sello: es su primera firma. La huella es un</w:t>
      </w:r>
      <w:r>
        <w:t xml:space="preserve"> </w:t>
      </w:r>
      <w:r>
        <w:rPr>
          <w:i/>
          <w:iCs/>
        </w:rPr>
        <w:t xml:space="preserve">índice</w:t>
      </w:r>
      <w:r>
        <w:t xml:space="preserve"> </w:t>
      </w:r>
      <w:r>
        <w:t xml:space="preserve">en el sentido que Fuão toma de Peirce: una «conexión física entre representante y representado», como el humo lo es del fuego (Fuão, 2011: 28), y sirve a lo que él llama «el control sobre los cuerpos»: el «registro institucional» (ibid.: 48). Por la mañana camina hacia la entrada por el desmonte (Botelho Gosálvez, 1982 [1945]: 140), la montaña de roca sin mineral que la mina saca y amontona: otra montaña de piedras, hecha con un cerro deshecho. El capataz le promete otra cosecha: «Aquí cosecharás miles de cargas de estaño» (ibid.: 142).</w:t>
      </w:r>
    </w:p>
    <w:p>
      <w:pPr>
        <w:pStyle w:val="Figura"/>
      </w:pPr>
      <w:r>
        <w:drawing>
          <wp:inline>
            <wp:extent cx="5039999" cy="3767174"/>
            <wp:effectExtent b="0" l="0" r="0" t="0"/>
            <wp:docPr descr="" title="" id="37" name="Picture"/>
            <a:graphic>
              <a:graphicData uri="http://schemas.openxmlformats.org/drawingml/2006/picture">
                <pic:pic>
                  <pic:nvPicPr>
                    <pic:cNvPr descr="figuras/imagen_4.jpg" id="38" name="Picture"/>
                    <pic:cNvPicPr>
                      <a:picLocks noChangeArrowheads="1" noChangeAspect="1"/>
                    </pic:cNvPicPr>
                  </pic:nvPicPr>
                  <pic:blipFill>
                    <a:blip r:embed="rId36"/>
                    <a:stretch>
                      <a:fillRect/>
                    </a:stretch>
                  </pic:blipFill>
                  <pic:spPr bwMode="auto">
                    <a:xfrm>
                      <a:off x="0" y="0"/>
                      <a:ext cx="5039999" cy="3767174"/>
                    </a:xfrm>
                    <a:prstGeom prst="rect">
                      <a:avLst/>
                    </a:prstGeom>
                    <a:noFill/>
                    <a:ln w="9525">
                      <a:noFill/>
                      <a:headEnd/>
                      <a:tailEnd/>
                    </a:ln>
                  </pic:spPr>
                </pic:pic>
              </a:graphicData>
            </a:graphic>
          </wp:inline>
        </w:drawing>
      </w:r>
    </w:p>
    <w:p>
      <w:pPr>
        <w:pStyle w:val="Piedefigura"/>
      </w:pPr>
      <w:r>
        <w:rPr>
          <w:b/>
          <w:bCs/>
        </w:rPr>
        <w:t xml:space="preserve">Imagen 4.</w:t>
      </w:r>
      <w:r>
        <w:t xml:space="preserve"> </w:t>
      </w:r>
      <w:r>
        <w:rPr>
          <w:i/>
          <w:iCs/>
        </w:rPr>
        <w:t xml:space="preserve">Vista general de las minas de estaño Siglo XX</w:t>
      </w:r>
      <w:r>
        <w:t xml:space="preserve"> </w:t>
      </w:r>
      <w:r>
        <w:t xml:space="preserve">(Patiño Mines and Enterprises), entre 1940 y 1946. La tira del negativo dice «Catavi». Fuente: Library of Congress, Prints &amp; Photographs Division, colección FSA/OWI, LC-USE6-D-000117. Dominio público.</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Es un montaje en el sentido de Fuão: una actividad «más técnica, más mecánica, un juntar y pegar», distinta de la collage, que cambia el sentido de lo que junta (Fuão, 2011: 102); la palabra</w:t>
      </w:r>
      <w:r>
        <w:t xml:space="preserve"> </w:t>
      </w:r>
      <w:r>
        <w:rPr>
          <w:i/>
          <w:iCs/>
        </w:rPr>
        <w:t xml:space="preserve">fotomontaje</w:t>
      </w:r>
      <w:r>
        <w:t xml:space="preserve">, recuerda, nació «de la cultura industrial, del montaje de turbinas, de máquinas» (ibid.: 97). El agua mide el cuerpo, de los tobillos a las rodillas, la cintura y el ombligo (Botelho Gosálvez, 1982 [1945]: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4214634" cy="5759999"/>
            <wp:effectExtent b="0" l="0" r="0" t="0"/>
            <wp:docPr descr="" title="" id="40" name="Picture"/>
            <a:graphic>
              <a:graphicData uri="http://schemas.openxmlformats.org/drawingml/2006/picture">
                <pic:pic>
                  <pic:nvPicPr>
                    <pic:cNvPr descr="figuras/figura_4.png" id="41" name="Picture"/>
                    <pic:cNvPicPr>
                      <a:picLocks noChangeArrowheads="1" noChangeAspect="1"/>
                    </pic:cNvPicPr>
                  </pic:nvPicPr>
                  <pic:blipFill>
                    <a:blip r:embed="rId39"/>
                    <a:stretch>
                      <a:fillRect/>
                    </a:stretch>
                  </pic:blipFill>
                  <pic:spPr bwMode="auto">
                    <a:xfrm>
                      <a:off x="0" y="0"/>
                      <a:ext cx="4214634" cy="575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42"/>
    <w:bookmarkStart w:id="49"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Fuão distingue la fragmentación, que despedaza, de la dispersión, en la que los pedazos, «separados del cuerpo original», quedan «distanciados unos de otros» (Fuão, 2011: 16). El linchamiento hace las dos cosas.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Fuão llama</w:t>
      </w:r>
      <w:r>
        <w:t xml:space="preserve"> </w:t>
      </w:r>
      <w:r>
        <w:rPr>
          <w:i/>
          <w:iCs/>
        </w:rPr>
        <w:t xml:space="preserve">voyeurismo</w:t>
      </w:r>
      <w:r>
        <w:t xml:space="preserve"> </w:t>
      </w:r>
      <w:r>
        <w:t xml:space="preserve">a esa posición: separar al observador del objeto «mediante un distanciamiento de la mirada y el ocultamiento del propio cuerpo» (Fuão, 2011: 24). Por eso la serie no dibuja el linchamiento: un pastel de ese cuerpo sería otra efigie, y reunir sus pedazos en una hoja, una collage.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(Botelho Gosálvez, 1982 [1945]: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3743999"/>
            <wp:effectExtent b="0" l="0" r="0" t="0"/>
            <wp:docPr descr="" title="" id="44" name="Picture"/>
            <a:graphic>
              <a:graphicData uri="http://schemas.openxmlformats.org/drawingml/2006/picture">
                <pic:pic>
                  <pic:nvPicPr>
                    <pic:cNvPr descr="figuras/figura_5.png" id="45" name="Picture"/>
                    <pic:cNvPicPr>
                      <a:picLocks noChangeArrowheads="1" noChangeAspect="1"/>
                    </pic:cNvPicPr>
                  </pic:nvPicPr>
                  <pic:blipFill>
                    <a:blip r:embed="rId43"/>
                    <a:stretch>
                      <a:fillRect/>
                    </a:stretch>
                  </pic:blipFill>
                  <pic:spPr bwMode="auto">
                    <a:xfrm>
                      <a:off x="0" y="0"/>
                      <a:ext cx="5039999" cy="374399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 Son lo que Fuão llama la figura de la espera, la que «aguarda y guarda» (Fuão, 2011: 65).</w:t>
      </w:r>
    </w:p>
    <w:p>
      <w:pPr>
        <w:pStyle w:val="Figura"/>
      </w:pPr>
      <w:r>
        <w:drawing>
          <wp:inline>
            <wp:extent cx="3839999" cy="5759999"/>
            <wp:effectExtent b="0" l="0" r="0" t="0"/>
            <wp:docPr descr="" title="" id="47" name="Picture"/>
            <a:graphic>
              <a:graphicData uri="http://schemas.openxmlformats.org/drawingml/2006/picture">
                <pic:pic>
                  <pic:nvPicPr>
                    <pic:cNvPr descr="figuras/figura_6.png" id="48" name="Picture"/>
                    <pic:cNvPicPr>
                      <a:picLocks noChangeArrowheads="1" noChangeAspect="1"/>
                    </pic:cNvPicPr>
                  </pic:nvPicPr>
                  <pic:blipFill>
                    <a:blip r:embed="rId46"/>
                    <a:stretch>
                      <a:fillRect/>
                    </a:stretch>
                  </pic:blipFill>
                  <pic:spPr bwMode="auto">
                    <a:xfrm>
                      <a:off x="0" y="0"/>
                      <a:ext cx="3839999" cy="575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49"/>
    <w:bookmarkStart w:id="56"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Volver es también juntar lo disperso: las familias llegan «de los cuatro rumbos de la pampa» (ibid.), y la palabra</w:t>
      </w:r>
      <w:r>
        <w:t xml:space="preserve"> </w:t>
      </w:r>
      <w:r>
        <w:rPr>
          <w:i/>
          <w:iCs/>
        </w:rPr>
        <w:t xml:space="preserve">cola</w:t>
      </w:r>
      <w:r>
        <w:t xml:space="preserve">, escribe Fuão, conserva en todos sus derivados el sentido de lo que «aglutina, reúne, lo que fue disperso» (Fuão, 2011: 81). Han muerto más de ciento cincuenta comunarios (Botelho Gosálvez, 1982 [1945]: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Alexander define la propiedad por el control, no por el dinero, y pide «el poder legal y la oportunidad física de modificar y reparar sus propios lugares» (Alexander et al., 1977: 395). La novela las separa: el poder, en los papeles; la oportunidad, en las manos. Reparar a la vez la casa y el lindero es lo que Alexander pide a todo el que construye: «reparar el mundo a su alrededor, y dentro de él» (ibid.: xiii).</w:t>
      </w:r>
    </w:p>
    <w:p>
      <w:pPr>
        <w:pStyle w:val="BodyText"/>
      </w:pPr>
      <w:r>
        <w:t xml:space="preserve">En Umacachi, la ordenanza se llevó los bueyes de los Villca, que se lamentaban: «Y ni siquiera tenemos una yunta» (Botelho Gosálvez, 1982 [1945]: 105). Al volver, sin yuntas, «los mismos hombres eran quienes tiraban el arado» (ibid.: 156). El cuerpo ocupa el lugar del buey, y recuerda: al volver a la casa antigua, escribe Bachelard, «los gestos más finos, los gestos primeros, son súbitamente vivos, siempre perfectos», porque «la casa natal ha inscrito en nosotros la jerarquía de las diversas funciones del habitar» (Bachelard, 1983 [1957]: 45, cit. en Monteys y Fuertes, 2001: 42). Y el narrador vuelve a convertirlos en piedra: trabajan «con una voluntad de siglos de piedra» (Botelho Gosálvez, 1982 [1945]: 156), una piedra fuera de la historia, no la</w:t>
      </w:r>
      <w:r>
        <w:t xml:space="preserve"> </w:t>
      </w:r>
      <w:r>
        <w:rPr>
          <w:i/>
          <w:iCs/>
        </w:rPr>
        <w:t xml:space="preserve">wank’a</w:t>
      </w:r>
      <w:r>
        <w:t xml:space="preserve"> </w:t>
      </w:r>
      <w:r>
        <w:t xml:space="preserve">con dueño y con lugar. Pero abrir la tierra tiene historia en los Andes, y tuvo su herramienta. El arado que cuelga en la chujlla, junto al yugo (ibid.: 31), se hizo para el buey; el andino, para el cuerpo. En el agosto que dibujó Guaman Poma, una fila de hombres abre la tierra con arados de pie; las mujeres trabajan de rodillas frente a ellos, y el dibujo escribe su canto: «ayau haylli yau» (Guaman Poma de Ayala, 1615: 1153 [1163]; Imagen 5).</w:t>
      </w:r>
    </w:p>
    <w:p>
      <w:pPr>
        <w:pStyle w:val="Figura"/>
      </w:pPr>
      <w:r>
        <w:drawing>
          <wp:inline>
            <wp:extent cx="2601117" cy="3599999"/>
            <wp:effectExtent b="0" l="0" r="0" t="0"/>
            <wp:docPr descr="" title="" id="51" name="Picture"/>
            <a:graphic>
              <a:graphicData uri="http://schemas.openxmlformats.org/drawingml/2006/picture">
                <pic:pic>
                  <pic:nvPicPr>
                    <pic:cNvPr descr="figuras/imagen_5.jpg" id="52" name="Picture"/>
                    <pic:cNvPicPr>
                      <a:picLocks noChangeArrowheads="1" noChangeAspect="1"/>
                    </pic:cNvPicPr>
                  </pic:nvPicPr>
                  <pic:blipFill>
                    <a:blip r:embed="rId50"/>
                    <a:stretch>
                      <a:fillRect/>
                    </a:stretch>
                  </pic:blipFill>
                  <pic:spPr bwMode="auto">
                    <a:xfrm>
                      <a:off x="0" y="0"/>
                      <a:ext cx="2601117" cy="3599999"/>
                    </a:xfrm>
                    <a:prstGeom prst="rect">
                      <a:avLst/>
                    </a:prstGeom>
                    <a:noFill/>
                    <a:ln w="9525">
                      <a:noFill/>
                      <a:headEnd/>
                      <a:tailEnd/>
                    </a:ln>
                  </pic:spPr>
                </pic:pic>
              </a:graphicData>
            </a:graphic>
          </wp:inline>
        </w:drawing>
      </w:r>
    </w:p>
    <w:p>
      <w:pPr>
        <w:pStyle w:val="Piedefigura"/>
      </w:pPr>
      <w:r>
        <w:rPr>
          <w:b/>
          <w:bCs/>
        </w:rPr>
        <w:t xml:space="preserve">Imagen 5.</w:t>
      </w:r>
      <w:r>
        <w:t xml:space="preserve"> </w:t>
      </w:r>
      <w:r>
        <w:rPr>
          <w:i/>
          <w:iCs/>
        </w:rPr>
        <w:t xml:space="preserve">Agosto: cantos triunfales, tiempo de abrir las tierras</w:t>
      </w:r>
      <w:r>
        <w:t xml:space="preserve">. Dibujo de Felipe Guaman Poma de Ayala,</w:t>
      </w:r>
      <w:r>
        <w:t xml:space="preserve"> </w:t>
      </w:r>
      <w:r>
        <w:rPr>
          <w:i/>
          <w:iCs/>
        </w:rPr>
        <w:t xml:space="preserve">Nueva corónica y buen gobierno</w:t>
      </w:r>
      <w:r>
        <w:t xml:space="preserve">, 1615, p. 1153 [1163], dibujo 393. Fuente: Det Kgl. Bibliotek, Copenhague, GKS 2232 4º. Dominio público.</w:t>
      </w:r>
    </w:p>
    <w:p>
      <w:pPr>
        <w:pStyle w:val="BodyText"/>
      </w:pPr>
      <w:r>
        <w:t xml:space="preserve">La memoria se construye igual que la casa. Cada uno guarda sus padecimientos «con el mismo pudor de los ex carcelados», y la memoria «no recordaba sino lo pasado antiguo, lo bueno y lo alegre de las cosechas» (Botelho Gosálvez, 1982 [1945]: 156):</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Dean lo dice de las piedras incas, «memorias materializadas»: «recordar una versión del pasado exige olvidar o reprimir otra versión de ese mismo pasado» (Dean, 2010: 39). Fuão describe ese olvido como el trabajo de la cola: crea «la ilusión de integridad», «no cura ni salva, solo cierra la boca de los abismos» (Fuão, 2011: 88); y el tiempo, añade, es la más potente de las colas, porque «cierra cicatrices» (ibid.: 91). Es lo contrario del lema del epígrafe: los comunarios de la novela no caminan mirando al pasado; lo esconden en un foso. Dos versos seguidos de «Father Electricity» juntan los dos gestos de esa memoria: «I do not want to see the whole mess / I wish I could live in retrospect», no quiero ver todo el desastre; ojalá pudiera vivir mirando atrás (Julian Casablancas+The Voidz, 2014). Los comunarios miran atrás, pero no para caminar, como pide el lema, sino para saltar el foso: recuerdan las cosechas, no el hambre.</w:t>
      </w:r>
    </w:p>
    <w:p>
      <w:pPr>
        <w:pStyle w:val="BodyText"/>
      </w:pPr>
      <w:r>
        <w:t xml:space="preserve">La selección tiene nombres: «Llegaron los Villca, los Huanca, los Huallpa, los Yupanqui, los Ticona, los Choque, los Chuquihuanca» (Botelho Gosálvez, 1982 [1945]: 156). Faltan los Condori, los Mamani y los Quispe, la «legión» sin tierra que cerraba la escalera del narrador (ibid.: 22). El Signo Escalonado se rehace sin su último escalón. Si, como concluyen Monteys y Fuertes, las personas «son la casa» (Monteys y Fuertes, 2001: 148), el ayllu se rehace incompleto.</w:t>
      </w:r>
    </w:p>
    <w:p>
      <w:pPr>
        <w:pStyle w:val="BodyText"/>
      </w:pPr>
      <w:r>
        <w:t xml:space="preserve">Una pirca de doble cara enseña lo que esa memoria olvida: las piedras grandes dan la cara, pero adentro van las menudas, y sin ese relleno el muro se cae. El narrador también llama «legión» a la «piedrecilla menuda» que baja del cerro hasta las pircas (Botelho Gosálvez, 1982 [1945]: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3239999"/>
            <wp:effectExtent b="0" l="0" r="0" t="0"/>
            <wp:docPr descr="" title="" id="54" name="Picture"/>
            <a:graphic>
              <a:graphicData uri="http://schemas.openxmlformats.org/drawingml/2006/picture">
                <pic:pic>
                  <pic:nvPicPr>
                    <pic:cNvPr descr="figuras/figura_7.png" id="55" name="Picture"/>
                    <pic:cNvPicPr>
                      <a:picLocks noChangeArrowheads="1" noChangeAspect="1"/>
                    </pic:cNvPicPr>
                  </pic:nvPicPr>
                  <pic:blipFill>
                    <a:blip r:embed="rId53"/>
                    <a:stretch>
                      <a:fillRect/>
                    </a:stretch>
                  </pic:blipFill>
                  <pic:spPr bwMode="auto">
                    <a:xfrm>
                      <a:off x="0" y="0"/>
                      <a:ext cx="5039999" cy="32399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56"/>
    <w:bookmarkStart w:id="60"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4338227" cy="6119999"/>
            <wp:effectExtent b="0" l="0" r="0" t="0"/>
            <wp:docPr descr="" title="" id="58" name="Picture"/>
            <a:graphic>
              <a:graphicData uri="http://schemas.openxmlformats.org/drawingml/2006/picture">
                <pic:pic>
                  <pic:nvPicPr>
                    <pic:cNvPr descr="figuras/figura_8.png" id="59" name="Picture"/>
                    <pic:cNvPicPr>
                      <a:picLocks noChangeArrowheads="1" noChangeAspect="1"/>
                    </pic:cNvPicPr>
                  </pic:nvPicPr>
                  <pic:blipFill>
                    <a:blip r:embed="rId57"/>
                    <a:stretch>
                      <a:fillRect/>
                    </a:stretch>
                  </pic:blipFill>
                  <pic:spPr bwMode="auto">
                    <a:xfrm>
                      <a:off x="0" y="0"/>
                      <a:ext cx="4338227" cy="61199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Fuão lo dice de la tijera y de la cola: esos instrumentos y materiales «no son neutros» (Fuão, 2011: 8).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Alexander, la collage, The Voidz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como una</w:t>
      </w:r>
      <w:r>
        <w:t xml:space="preserve"> </w:t>
      </w:r>
      <w:r>
        <w:rPr>
          <w:i/>
          <w:iCs/>
        </w:rPr>
        <w:t xml:space="preserve">décollage</w:t>
      </w:r>
      <w:r>
        <w:t xml:space="preserve"> </w:t>
      </w:r>
      <w:r>
        <w:t xml:space="preserve">que despega lo que la memoria pegó,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60"/>
    <w:bookmarkStart w:id="61"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el diseño y trazado de los esquemas de encaje (figuras 1-6) y de los diagramas (figuras 7 y 8), y la búsqueda, el cotejo con sus fuentes y la preparación de las imágenes de dominio público (imágenes 1-5).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61"/>
    <w:bookmarkStart w:id="62" w:name="bibliografía"/>
    <w:p>
      <w:pPr>
        <w:pStyle w:val="Heading2"/>
      </w:pPr>
      <w:r>
        <w:t xml:space="preserve">Bibliografía</w:t>
      </w:r>
    </w:p>
    <w:p>
      <w:pPr>
        <w:pStyle w:val="FirstParagraph"/>
      </w:pPr>
      <w:r>
        <w:t xml:space="preserve">Alexander, Christopher; Ishikawa, Sara y Silverstein, Murray (1977).</w:t>
      </w:r>
      <w:r>
        <w:t xml:space="preserve"> </w:t>
      </w:r>
      <w:r>
        <w:rPr>
          <w:i/>
          <w:iCs/>
        </w:rPr>
        <w:t xml:space="preserve">A Pattern Language. Towns, Buildings, Construction</w:t>
      </w:r>
      <w:r>
        <w:t xml:space="preserve">. Nueva York: Oxford University Press.</w:t>
      </w:r>
    </w:p>
    <w:p>
      <w:pPr>
        <w:pStyle w:val="BodyText"/>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Bachelard, Gaston (1983 [1957]).</w:t>
      </w:r>
      <w:r>
        <w:t xml:space="preserve"> </w:t>
      </w:r>
      <w:r>
        <w:rPr>
          <w:i/>
          <w:iCs/>
        </w:rPr>
        <w:t xml:space="preserve">La poética del espacio</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Fuão, Fernando Freitas (2011).</w:t>
      </w:r>
      <w:r>
        <w:t xml:space="preserve"> </w:t>
      </w:r>
      <w:r>
        <w:rPr>
          <w:i/>
          <w:iCs/>
        </w:rPr>
        <w:t xml:space="preserve">A collage como trajetória amorosa</w:t>
      </w:r>
      <w:r>
        <w:t xml:space="preserve">. Porto Alegre: Editora da UFRGS.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Guaman Poma de Ayala, Felipe (1615).</w:t>
      </w:r>
      <w:r>
        <w:t xml:space="preserve"> </w:t>
      </w:r>
      <w:r>
        <w:rPr>
          <w:i/>
          <w:iCs/>
        </w:rPr>
        <w:t xml:space="preserve">Nueva corónica y buen gobierno</w:t>
      </w:r>
      <w:r>
        <w:t xml:space="preserve">. Manuscrito GKS 2232 4º. Copenhague: Det Kgl. Bibliotek. Edición digital: https://poma.kb.dk/permalink/2006/poma/info/es/frontpage.htm</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Julian Casablancas+The Voidz (2014).</w:t>
      </w:r>
      <w:r>
        <w:t xml:space="preserve"> </w:t>
      </w:r>
      <w:r>
        <w:rPr>
          <w:i/>
          <w:iCs/>
        </w:rPr>
        <w:t xml:space="preserve">Tyranny</w:t>
      </w:r>
      <w:r>
        <w:t xml:space="preserve"> </w:t>
      </w:r>
      <w:r>
        <w:t xml:space="preserve">[álbum]. Cult Records. Pista 6, «Father Electricity».</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Monteys, Xavier y Fuertes, Pere (2001).</w:t>
      </w:r>
      <w:r>
        <w:t xml:space="preserve"> </w:t>
      </w:r>
      <w:r>
        <w:rPr>
          <w:i/>
          <w:iCs/>
        </w:rPr>
        <w:t xml:space="preserve">Casa collage. Un ensayo sobre la arquitectura de la casa</w:t>
      </w:r>
      <w:r>
        <w:t xml:space="preserve">. Barcelona: Gustavo Gili.</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Squier, Ephraim George (1877).</w:t>
      </w:r>
      <w:r>
        <w:t xml:space="preserve"> </w:t>
      </w:r>
      <w:r>
        <w:rPr>
          <w:i/>
          <w:iCs/>
        </w:rPr>
        <w:t xml:space="preserve">Peru: Incidents of Travel and Exploration in the Land of the Incas</w:t>
      </w:r>
      <w:r>
        <w:t xml:space="preserve">. Nueva York: Harper &amp; Brothers.</w:t>
      </w:r>
    </w:p>
    <w:p>
      <w:pPr>
        <w:pStyle w:val="BodyText"/>
      </w:pPr>
      <w:r>
        <w:t xml:space="preserve">The Voidz (2018).</w:t>
      </w:r>
      <w:r>
        <w:t xml:space="preserve"> </w:t>
      </w:r>
      <w:r>
        <w:rPr>
          <w:i/>
          <w:iCs/>
        </w:rPr>
        <w:t xml:space="preserve">Virtue</w:t>
      </w:r>
      <w:r>
        <w:t xml:space="preserve"> </w:t>
      </w:r>
      <w:r>
        <w:t xml:space="preserve">[álbum]. Cult Records y RCA Records. Pistas 3, «Pyramid of Bones», y 7, «All Wordz Are Made Up». Letra según el librillo de la edición japonesa (Sony Music Labels, SICP 5689).</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62"/>
    <w:bookmarkEnd w:id="63"/>
    <w:sectPr>
      <w:footnotePr>
        <w:numRestart w:val="eachSect"/>
      </w:footnotePr>
      <w:pgSz w:h="15840" w:w="12240"/>
      <w:pgMar w:bottom="1417" w:left="1417" w:right="1417" w:top="1417"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y no llega a secar del todo: se puede empastar, arrastrar con el dedo, raspar con una punta hasta descubrir la capa de abajo (esgrafiado) o disolver con solvente. Por eso se trabaja sumando y quitando materia, como se limpia un campo, más que trazando líneas. Fernando Freitas Fuão describe la misma doble operación en la collage: «Si la cola añade, la</w:t>
      </w:r>
      <w:r>
        <w:t xml:space="preserve"> </w:t>
      </w:r>
      <w:r>
        <w:rPr>
          <w:i/>
          <w:iCs/>
        </w:rPr>
        <w:t xml:space="preserve">décollage</w:t>
      </w:r>
      <w:r>
        <w:t xml:space="preserve"> </w:t>
      </w:r>
      <w:r>
        <w:t xml:space="preserve">suprime», y juntas «reduplican su significado» (Fuão, 2011: 43). El esgrafiado hace lo que Fuão llama «la segunda incisión»: la cámara ya cortó la realidad en rectángulos, y «un segundo recorte desfigura la imagen rectangular inicial, dándole un nuevo significado» (ibid.: 29). La novela es el primer corte; el dibujo, el segundo.</w:t>
      </w:r>
    </w:p>
  </w:footnote>
  <w:footnote w:id="13">
    <w:p>
      <w:pPr>
        <w:pStyle w:val="FootnoteText"/>
      </w:pPr>
      <w:r>
        <w:rPr>
          <w:rStyle w:val="FootnoteReference"/>
        </w:rPr>
        <w:footnoteRef/>
      </w:r>
      <w:r>
        <w:t xml:space="preserve"> </w:t>
      </w:r>
      <w:r>
        <w:t xml:space="preserve">Se cita la página según la numeró Guaman Poma y, entre corchetes, la de la edición digital de la Biblioteca Real de Dinamarca.</w:t>
      </w:r>
    </w:p>
  </w:footnote>
  <w:footnote w:id="17">
    <w:p>
      <w:pPr>
        <w:pStyle w:val="FootnoteText"/>
      </w:pPr>
      <w:r>
        <w:rPr>
          <w:rStyle w:val="FootnoteReference"/>
        </w:rPr>
        <w:footnoteRef/>
      </w:r>
      <w:r>
        <w:t xml:space="preserve"> </w:t>
      </w:r>
      <w:r>
        <w:t xml:space="preserve">Este artículo está hecho, literalmente, de recortes: más de ciento cincuenta citas de la novela. Fuão ve en las comillas «la mejor evidencia del recorte», una herida que marca «una sutura de cuatro puntos» (Fuão, 2011: 39).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25" Type="http://schemas.openxmlformats.org/officeDocument/2006/relationships/image" Target="media/rId25.png"/><Relationship Id="rId33" Type="http://schemas.openxmlformats.org/officeDocument/2006/relationships/image" Target="media/rId33.png"/><Relationship Id="rId39" Type="http://schemas.openxmlformats.org/officeDocument/2006/relationships/image" Target="media/rId39.png"/><Relationship Id="rId43" Type="http://schemas.openxmlformats.org/officeDocument/2006/relationships/image" Target="media/rId43.png"/><Relationship Id="rId46" Type="http://schemas.openxmlformats.org/officeDocument/2006/relationships/image" Target="media/rId46.png"/><Relationship Id="rId53" Type="http://schemas.openxmlformats.org/officeDocument/2006/relationships/image" Target="media/rId53.png"/><Relationship Id="rId57" Type="http://schemas.openxmlformats.org/officeDocument/2006/relationships/image" Target="media/rId57.png"/><Relationship Id="rId14" Type="http://schemas.openxmlformats.org/officeDocument/2006/relationships/image" Target="media/rId14.jpg"/><Relationship Id="rId22" Type="http://schemas.openxmlformats.org/officeDocument/2006/relationships/image" Target="media/rId22.jpg"/><Relationship Id="rId29" Type="http://schemas.openxmlformats.org/officeDocument/2006/relationships/image" Target="media/rId29.jpg"/><Relationship Id="rId36" Type="http://schemas.openxmlformats.org/officeDocument/2006/relationships/image" Target="media/rId36.jpg"/><Relationship Id="rId50" Type="http://schemas.openxmlformats.org/officeDocument/2006/relationships/image" Target="media/rId5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2026-10-18T22:29:38Z</dcterms:created>
  <dcterms:modified xsi:type="dcterms:W3CDTF">2026-10-18T22:29:38Z</dcterms:modified>
</cp:coreProperties>
</file>

<file path=docProps/custom.xml><?xml version="1.0" encoding="utf-8"?>
<Properties xmlns="http://schemas.openxmlformats.org/officeDocument/2006/custom-properties" xmlns:vt="http://schemas.openxmlformats.org/officeDocument/2006/docPropsVTypes"/>
</file>