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jpeg" ContentType="image/jpeg"/>
  <Override PartName="/word/media/image4.png" ContentType="image/png"/>
  <Override PartName="/word/media/image5.jpeg" ContentType="image/jpeg"/>
  <Override PartName="/word/media/image7.jpeg" ContentType="image/jpeg"/>
  <Override PartName="/word/media/image8.png" ContentType="image/png"/>
  <Override PartName="/word/media/image12.png" ContentType="image/png"/>
  <Override PartName="/word/media/image9.png" ContentType="image/png"/>
  <Override PartName="/word/media/image11.jpeg" ContentType="image/jpeg"/>
  <Override PartName="/word/media/image13.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[2011]: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parte de tres premisas. En </w:t>
      </w:r>
      <w:r>
        <w:rPr>
          <w:i/>
          <w:iCs/>
        </w:rPr>
        <w:t>Altiplano</w:t>
      </w:r>
      <w:r>
        <w:rPr/>
        <w:t xml:space="preserve">, el saber sobre el espacio es material: piedra, adobe, paja y papel. El dibujo, que obliga a decidir punto de vista, escala y límite, deja a la vista las categorías que el lector proyecta. Y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[1966]: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 Y, como muestra Carolyn Dean para los incas, volverse piedra no era morir: «la petrificación señalaba la suspensión, pero no el fin, de la vida» (Dean, 2010: 5).</w:t>
      </w:r>
    </w:p>
    <w:p>
      <w:pPr>
        <w:pStyle w:val="BodyText"/>
        <w:rPr/>
      </w:pPr>
      <w:r>
        <w:rPr/>
        <w:t xml:space="preserve">¿Con qué leer, entonces? Con las manos. De las imágenes de la materia, Gaston Bachelard escribió: «La vista las nombra, pero la mano las conoce» (Bachelard, 1978 [1942]: 7-8, cit. en Pallasmaa, 2014 [2011]: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w:t>
      </w:r>
      <w:ins w:id="0" w:author="Unknown Author" w:date="2026-10-18T22:30:32Z">
        <w:r>
          <w:rPr/>
          <w:t xml:space="preserve">Tampoco era nueva la escritura en manos andinas: en 1615, Felipe Guaman Poma de Ayala dibujó a un escribano andino del cabildo, el </w:t>
        </w:r>
      </w:ins>
      <w:ins w:id="1" w:author="Unknown Author" w:date="2026-10-18T22:30:32Z">
        <w:r>
          <w:rPr>
            <w:i/>
            <w:iCs/>
          </w:rPr>
          <w:t>qilqay kamayuq</w:t>
        </w:r>
      </w:ins>
      <w:ins w:id="2" w:author="Unknown Author" w:date="2026-10-18T22:30:32Z">
        <w:r>
          <w:rPr/>
          <w:t>, que redacta un testamento (Guaman Poma de Ayala, 1615: 814 [828]; Imagen 1).</w:t>
        </w:r>
      </w:ins>
      <w:ins w:id="3" w:author="Unknown Author" w:date="2026-10-18T22:30:32Z">
        <w:r>
          <w:rPr>
            <w:rStyle w:val="FootnoteReference"/>
          </w:rPr>
          <w:footnoteReference w:id="5"/>
        </w:r>
      </w:ins>
      <w:ins w:id="4" w:author="Unknown Author" w:date="2026-10-18T22:30:32Z">
        <w:r>
          <w:rPr/>
          <w:t xml:space="preserve"> </w:t>
        </w:r>
      </w:ins>
      <w:r>
        <w:rPr/>
        <w:t>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Figura"/>
        <w:rPr>
          <w:ins w:id="6" w:author="Unknown Author" w:date="2026-10-18T22:30:32Z"/>
        </w:rPr>
      </w:pPr>
      <w:ins w:id="5" w:author="Unknown Author" w:date="2026-10-18T22:30:32Z">
        <w:r>
          <w:rPr/>
          <w:drawing>
            <wp:inline distT="0" distB="0" distL="0" distR="0">
              <wp:extent cx="2493645" cy="35998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493645" cy="3599815"/>
                      </a:xfrm>
                      <a:prstGeom prst="rect">
                        <a:avLst/>
                      </a:prstGeom>
                    </pic:spPr>
                  </pic:pic>
                </a:graphicData>
              </a:graphic>
            </wp:inline>
          </w:drawing>
        </w:r>
      </w:ins>
    </w:p>
    <w:p>
      <w:pPr>
        <w:pStyle w:val="Piedefigura"/>
        <w:rPr>
          <w:ins w:id="13" w:author="Unknown Author" w:date="2026-10-18T22:30:32Z"/>
        </w:rPr>
      </w:pPr>
      <w:ins w:id="7" w:author="Unknown Author" w:date="2026-10-18T22:30:32Z">
        <w:r>
          <w:rPr>
            <w:b/>
            <w:bCs/>
          </w:rPr>
          <w:t>Imagen 1.</w:t>
        </w:r>
      </w:ins>
      <w:ins w:id="8" w:author="Unknown Author" w:date="2026-10-18T22:30:32Z">
        <w:r>
          <w:rPr/>
          <w:t xml:space="preserve"> </w:t>
        </w:r>
      </w:ins>
      <w:ins w:id="9" w:author="Unknown Author" w:date="2026-10-18T22:30:32Z">
        <w:r>
          <w:rPr>
            <w:i/>
            <w:iCs/>
          </w:rPr>
          <w:t>Escribano de cabildo</w:t>
        </w:r>
      </w:ins>
      <w:ins w:id="10" w:author="Unknown Author" w:date="2026-10-18T22:30:32Z">
        <w:r>
          <w:rPr/>
          <w:t xml:space="preserve">. Dibujo de Felipe Guaman Poma de Ayala, </w:t>
        </w:r>
      </w:ins>
      <w:ins w:id="11" w:author="Unknown Author" w:date="2026-10-18T22:30:32Z">
        <w:r>
          <w:rPr>
            <w:i/>
            <w:iCs/>
          </w:rPr>
          <w:t>Nueva corónica y buen gobierno</w:t>
        </w:r>
      </w:ins>
      <w:ins w:id="12" w:author="Unknown Author" w:date="2026-10-18T22:30:32Z">
        <w:r>
          <w:rPr/>
          <w:t>, 1615, p. 814 [828], dibujo 307. Fuente: Det Kgl. Bibliotek, Copenhague, GKS 2232 4º. Dominio público.</w:t>
        </w:r>
      </w:ins>
    </w:p>
    <w:p>
      <w:pPr>
        <w:pStyle w:val="BodyText"/>
        <w:rPr/>
      </w:pPr>
      <w:r>
        <w:rPr/>
        <w:t xml:space="preserve">La palabra </w:t>
      </w:r>
      <w:r>
        <w:rPr>
          <w:i/>
          <w:iCs/>
        </w:rPr>
        <w:t>manuaje</w:t>
      </w:r>
      <w:r>
        <w:rPr/>
        <w:t xml:space="preserve"> tiene antecedentes, que Cárcamo Pino repasa. Uno es el de Randall McLeod, que llamó </w:t>
      </w:r>
      <w:r>
        <w:rPr>
          <w:i/>
          <w:iCs/>
        </w:rPr>
        <w:t>manuage</w:t>
      </w:r>
      <w:r>
        <w:rPr/>
        <w:t xml:space="preserve"> al idioma de los </w:t>
      </w:r>
      <w:r>
        <w:rPr>
          <w:i/>
          <w:iCs/>
        </w:rPr>
        <w:t>choughs</w:t>
      </w:r>
      <w:r>
        <w:rPr/>
        <w:t xml:space="preserve"> en </w:t>
      </w:r>
      <w:r>
        <w:rPr>
          <w:i/>
          <w:iCs/>
        </w:rPr>
        <w:t>All’s Well That Ends Well</w:t>
      </w:r>
      <w:r>
        <w:rPr/>
        <w:t>,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w:t>
      </w:r>
      <w:r>
        <w:rPr>
          <w:i/>
          <w:iCs/>
        </w:rPr>
        <w:t>ensamblaje</w:t>
      </w:r>
      <w:r>
        <w:rPr/>
        <w:t xml:space="preserve"> 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r>
        <w:rPr>
          <w:rStyle w:val="FootnoteReference"/>
        </w:rPr>
        <w:footnoteReference w:id="6"/>
      </w:r>
      <w:r>
        <w:rPr/>
        <w:t xml:space="preserve"> </w:t>
      </w:r>
      <w:ins w:id="14" w:author="Unknown Author" w:date="2026-10-18T22:30:32Z">
        <w:r>
          <w:rPr/>
          <w:t xml:space="preserve">El artículo reproduce, además, cinco imágenes de dominio público, en serie aparte de las figuras (imágenes 1-5). Cumplen esa condición: cada una va junto al pasaje que la pide, y no ilustra la novela, sino que muestra lo que calla o aquello con lo que contrasta. </w:t>
        </w:r>
      </w:ins>
      <w:r>
        <w:rPr/>
        <w:t xml:space="preserve">Monteys y Fuertes llaman </w:t>
      </w:r>
      <w:r>
        <w:rPr>
          <w:i/>
          <w:iCs/>
        </w:rPr>
        <w:t>casa collage</w:t>
      </w:r>
      <w:r>
        <w:rPr/>
        <w:t xml:space="preserve"> a una casa hecha así, de ideas reunidas, que «no cabe en una sola casa» (Monteys y Fuertes, 2001: 12).</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[2011]: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rPr/>
      </w:pPr>
      <w:r>
        <w:rPr/>
        <w:drawing>
          <wp:inline distT="0" distB="0" distL="0" distR="0">
            <wp:extent cx="5039995" cy="338391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 </w:t>
      </w:r>
      <w:r>
        <w:rPr>
          <w:i/>
          <w:iCs/>
        </w:rPr>
        <w:t>gradiente de intimidad</w:t>
      </w:r>
      <w:r>
        <w:rPr/>
        <w:t xml:space="preserve"> 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rPr/>
      </w:pPr>
      <w:r>
        <w:rP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 </w:t>
      </w:r>
      <w:r>
        <w:rPr>
          <w:i/>
          <w:iCs/>
        </w:rPr>
        <w:t>hogar</w:t>
      </w:r>
      <w:r>
        <w:rPr/>
        <w:t xml:space="preserve"> 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los que lo sostienen.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rPr>
          <w:ins w:id="16" w:author="Unknown Author" w:date="2026-10-18T22:30:32Z"/>
        </w:rPr>
      </w:pPr>
      <w:ins w:id="15" w:author="Unknown Author" w:date="2026-10-18T22:30:32Z">
        <w:r>
          <w:rPr/>
          <w:t>Esa mirada tiene un antecedente en el mismo Tiwanaku. En 1877, el viajero estadounidense Ephraim George Squier publicó un grabado de la gran portada monolítica, hecho a partir de sus fotografías: al pie de la piedra, un hombre sentado trabaja un bloque entre las piernas; enfrente esperan los viajeros, con una mula y un rifle (Squier, 1877: 288; Imagen 2). Squier cuenta que un anciano pasaba allí los días labrando una piedra entre las rodillas. Al arriero que le preguntó en aymara qué hacía, le contestó que estaba «tallando una cruz», y los viajeros acabaron por verlo «como parte integrante de los monumentos» (ibid.: 302-303). El viajero vuelve piedra al que trabaja la piedra, como hará el narrador con los comunarios.</w:t>
        </w:r>
      </w:ins>
    </w:p>
    <w:p>
      <w:pPr>
        <w:pStyle w:val="Figura"/>
        <w:rPr>
          <w:ins w:id="18" w:author="Unknown Author" w:date="2026-10-18T22:30:32Z"/>
        </w:rPr>
      </w:pPr>
      <w:ins w:id="17" w:author="Unknown Author" w:date="2026-10-18T22:30:32Z">
        <w:r>
          <w:rPr/>
          <w:drawing>
            <wp:inline distT="0" distB="0" distL="0" distR="0">
              <wp:extent cx="5039995" cy="373189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731895"/>
                      </a:xfrm>
                      <a:prstGeom prst="rect">
                        <a:avLst/>
                      </a:prstGeom>
                    </pic:spPr>
                  </pic:pic>
                </a:graphicData>
              </a:graphic>
            </wp:inline>
          </w:drawing>
        </w:r>
      </w:ins>
    </w:p>
    <w:p>
      <w:pPr>
        <w:pStyle w:val="Piedefigura"/>
        <w:rPr>
          <w:ins w:id="23" w:author="Unknown Author" w:date="2026-10-18T22:30:32Z"/>
        </w:rPr>
      </w:pPr>
      <w:ins w:id="19" w:author="Unknown Author" w:date="2026-10-18T22:30:32Z">
        <w:r>
          <w:rPr>
            <w:b/>
            <w:bCs/>
          </w:rPr>
          <w:t>Imagen 2.</w:t>
        </w:r>
      </w:ins>
      <w:ins w:id="20" w:author="Unknown Author" w:date="2026-10-18T22:30:32Z">
        <w:r>
          <w:rPr/>
          <w:t xml:space="preserve"> </w:t>
        </w:r>
      </w:ins>
      <w:ins w:id="21" w:author="Unknown Author" w:date="2026-10-18T22:30:32Z">
        <w:r>
          <w:rPr>
            <w:i/>
            <w:iCs/>
          </w:rPr>
          <w:t>Frente de la gran portada monolítica</w:t>
        </w:r>
      </w:ins>
      <w:ins w:id="22" w:author="Unknown Author" w:date="2026-10-18T22:30:32Z">
        <w:r>
          <w:rPr/>
          <w:t xml:space="preserve"> (Tiwanaku). Grabado a partir de fotografías de E. G. Squier. Fuente: Squier (1877: 288), ejemplar del Getty Research Institute en Internet Archive. Dominio público.</w:t>
        </w:r>
      </w:ins>
    </w:p>
    <w:p>
      <w:pPr>
        <w:pStyle w:val="BodyText"/>
        <w:rPr/>
      </w:pPr>
      <w:r>
        <w:rPr/>
        <w:t xml:space="preserve">El mismo capítulo </w:t>
      </w:r>
      <w:ins w:id="24" w:author="Unknown Author" w:date="2026-10-18T22:30:32Z">
        <w:r>
          <w:rPr/>
          <w:t xml:space="preserve">de la novela </w:t>
        </w:r>
      </w:ins>
      <w:r>
        <w:rPr/>
        <w:t>cuenta cómo se perdió Kero-Pata, el ayllu de origen de Juan Condori. Sus comunarios habían estado «amparados por las Cédulas Reales», hasta que, con la República, «los doctores alto-peruanos les birlaron la tierra» (</w:t>
      </w:r>
      <w:ins w:id="25" w:author="Unknown Author" w:date="2026-10-18T22:30:32Z">
        <w:r>
          <w:rPr/>
          <w:t>Botelho Gosálvez, 1982 [1945]</w:t>
        </w:r>
      </w:ins>
      <w:del w:id="26" w:author="Unknown Author" w:date="2026-10-18T22:30:32Z">
        <w:r>
          <w:rPr/>
          <w:delText>ibid.</w:delText>
        </w:r>
      </w:del>
      <w:r>
        <w:rPr/>
        <w:t>: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alias «el lobo»,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w:t>
      </w:r>
      <w:ins w:id="27" w:author="Unknown Author" w:date="2026-10-18T22:30:32Z">
        <w:r>
          <w:rPr/>
          <w:t xml:space="preserve">En los Andes, el hilo servía también para registrar: Guaman Poma dibujó a la tejedora y al contador mayor, que llevaba las cuentas del reino en cordeles anudados, los </w:t>
        </w:r>
      </w:ins>
      <w:ins w:id="28" w:author="Unknown Author" w:date="2026-10-18T22:30:32Z">
        <w:r>
          <w:rPr>
            <w:i/>
            <w:iCs/>
          </w:rPr>
          <w:t>khipus</w:t>
        </w:r>
      </w:ins>
      <w:ins w:id="29" w:author="Unknown Author" w:date="2026-10-18T22:30:32Z">
        <w:r>
          <w:rPr/>
          <w:t xml:space="preserve"> (Guaman Poma de Ayala, 1615: 215 [217], 360 [362]; Imagen 3). </w:t>
        </w:r>
      </w:ins>
      <w:r>
        <w:rPr/>
        <w:t>Y el despojo no tiene un solo villano. Corregidor, alcalde, intendente y cura son «cuatro patas de la bestia opresora del puneño» (</w:t>
      </w:r>
      <w:ins w:id="30" w:author="Unknown Author" w:date="2026-10-18T22:30:32Z">
        <w:r>
          <w:rPr/>
          <w:t>Botelho Gosálvez, 1982 [1945]</w:t>
        </w:r>
      </w:ins>
      <w:del w:id="31" w:author="Unknown Author" w:date="2026-10-18T22:30:32Z">
        <w:r>
          <w:rPr/>
          <w:delText>ibid.</w:delText>
        </w:r>
      </w:del>
      <w:r>
        <w:rPr/>
        <w:t>: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Figura"/>
        <w:rPr>
          <w:ins w:id="33" w:author="Unknown Author" w:date="2026-10-18T22:30:32Z"/>
        </w:rPr>
      </w:pPr>
      <w:ins w:id="32" w:author="Unknown Author" w:date="2026-10-18T22:30:32Z">
        <w:r>
          <w:rPr/>
          <w:drawing>
            <wp:inline distT="0" distB="0" distL="0" distR="0">
              <wp:extent cx="4679950" cy="355219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679950" cy="3552190"/>
                      </a:xfrm>
                      <a:prstGeom prst="rect">
                        <a:avLst/>
                      </a:prstGeom>
                    </pic:spPr>
                  </pic:pic>
                </a:graphicData>
              </a:graphic>
            </wp:inline>
          </w:drawing>
        </w:r>
      </w:ins>
    </w:p>
    <w:p>
      <w:pPr>
        <w:pStyle w:val="Piedefigura"/>
        <w:rPr>
          <w:ins w:id="44" w:author="Unknown Author" w:date="2026-10-18T22:30:32Z"/>
        </w:rPr>
      </w:pPr>
      <w:ins w:id="34" w:author="Unknown Author" w:date="2026-10-18T22:30:32Z">
        <w:r>
          <w:rPr>
            <w:b/>
            <w:bCs/>
          </w:rPr>
          <w:t>Imagen 3.</w:t>
        </w:r>
      </w:ins>
      <w:ins w:id="35" w:author="Unknown Author" w:date="2026-10-18T22:30:32Z">
        <w:r>
          <w:rPr/>
          <w:t xml:space="preserve"> a) </w:t>
        </w:r>
      </w:ins>
      <w:ins w:id="36" w:author="Unknown Author" w:date="2026-10-18T22:30:32Z">
        <w:r>
          <w:rPr>
            <w:i/>
            <w:iCs/>
          </w:rPr>
          <w:t>Tejedora de treinta y tres años</w:t>
        </w:r>
      </w:ins>
      <w:ins w:id="37" w:author="Unknown Author" w:date="2026-10-18T22:30:32Z">
        <w:r>
          <w:rPr/>
          <w:t xml:space="preserve"> (p. 215 [217], dibujo 80). b) </w:t>
        </w:r>
      </w:ins>
      <w:ins w:id="38" w:author="Unknown Author" w:date="2026-10-18T22:30:32Z">
        <w:r>
          <w:rPr>
            <w:i/>
            <w:iCs/>
          </w:rPr>
          <w:t>Contador mayor y tesorero</w:t>
        </w:r>
      </w:ins>
      <w:ins w:id="39" w:author="Unknown Author" w:date="2026-10-18T22:30:32Z">
        <w:r>
          <w:rPr/>
          <w:t xml:space="preserve">, con su </w:t>
        </w:r>
      </w:ins>
      <w:ins w:id="40" w:author="Unknown Author" w:date="2026-10-18T22:30:32Z">
        <w:r>
          <w:rPr>
            <w:i/>
            <w:iCs/>
          </w:rPr>
          <w:t>khipu</w:t>
        </w:r>
      </w:ins>
      <w:ins w:id="41" w:author="Unknown Author" w:date="2026-10-18T22:30:32Z">
        <w:r>
          <w:rPr/>
          <w:t xml:space="preserve"> (p. 360 [362], dibujo 143). Dibujos de Felipe Guaman Poma de Ayala, </w:t>
        </w:r>
      </w:ins>
      <w:ins w:id="42" w:author="Unknown Author" w:date="2026-10-18T22:30:32Z">
        <w:r>
          <w:rPr>
            <w:i/>
            <w:iCs/>
          </w:rPr>
          <w:t>Nueva corónica y buen gobierno</w:t>
        </w:r>
      </w:ins>
      <w:ins w:id="43" w:author="Unknown Author" w:date="2026-10-18T22:30:32Z">
        <w:r>
          <w:rPr/>
          <w:t>, 1615. Fuente: Det Kgl. Bibliotek, Copenhague, GKS 2232 4º. Dominio público.</w:t>
        </w:r>
      </w:ins>
    </w:p>
    <w:p>
      <w:pPr>
        <w:pStyle w:val="BodyText"/>
        <w:rPr/>
      </w:pPr>
      <w:r>
        <w:rPr/>
        <w:t>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La firma es la del lobo.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Lo dicen dos versos de «Pyramid of Bones»: «they play the game by different rules, insisting / it’s all equal», juegan con otras reglas e insisten en que todo es igual (The Voidz, 2018).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 </w:t>
      </w:r>
      <w:r>
        <w:rPr>
          <w:i/>
          <w:iCs/>
        </w:rPr>
        <w:t>casa difusa</w:t>
      </w:r>
      <w:r>
        <w:rPr/>
        <w:t xml:space="preserve"> 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rPr/>
      </w:pPr>
      <w:r>
        <w:rPr/>
        <w:drawing>
          <wp:inline distT="0" distB="0" distL="0" distR="0">
            <wp:extent cx="5039995" cy="359981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w:t>
      </w:r>
      <w:ins w:id="45" w:author="Unknown Author" w:date="2026-10-18T22:30:32Z">
        <w:r>
          <w:rPr/>
          <w:t xml:space="preserve">Una vista de la mina de estaño Siglo XX, de Patiño Mines and Enterprises, tomada entre 1940 y 1946, muestra un orden parecido: abajo, junto a las instalaciones, casas mayores con techo a dos aguas; arriba, en la ladera, hileras de viviendas pequeñas e iguales (Imagen 4). </w:t>
        </w:r>
      </w:ins>
      <w:r>
        <w:rPr/>
        <w:t xml:space="preserve">La empresa registra a Condori: «Tomaron su identidad e impresiones digitales» (ibid.: 140). Su mano entra en el archivo sin agarrar nada, apoyada como un sello: es su primera firma. La huella es un </w:t>
      </w:r>
      <w:r>
        <w:rPr>
          <w:i/>
          <w:iCs/>
        </w:rPr>
        <w:t>índice</w:t>
      </w:r>
      <w:r>
        <w:rPr/>
        <w:t xml:space="preserve"> 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Figura"/>
        <w:rPr>
          <w:ins w:id="47" w:author="Unknown Author" w:date="2026-10-18T22:30:32Z"/>
        </w:rPr>
      </w:pPr>
      <w:ins w:id="46" w:author="Unknown Author" w:date="2026-10-18T22:30:32Z">
        <w:r>
          <w:rPr/>
          <w:drawing>
            <wp:inline distT="0" distB="0" distL="0" distR="0">
              <wp:extent cx="5039995" cy="37668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766820"/>
                      </a:xfrm>
                      <a:prstGeom prst="rect">
                        <a:avLst/>
                      </a:prstGeom>
                    </pic:spPr>
                  </pic:pic>
                </a:graphicData>
              </a:graphic>
            </wp:inline>
          </w:drawing>
        </w:r>
      </w:ins>
    </w:p>
    <w:p>
      <w:pPr>
        <w:pStyle w:val="Piedefigura"/>
        <w:rPr>
          <w:ins w:id="52" w:author="Unknown Author" w:date="2026-10-18T22:30:32Z"/>
        </w:rPr>
      </w:pPr>
      <w:ins w:id="48" w:author="Unknown Author" w:date="2026-10-18T22:30:32Z">
        <w:r>
          <w:rPr>
            <w:b/>
            <w:bCs/>
          </w:rPr>
          <w:t>Imagen 4.</w:t>
        </w:r>
      </w:ins>
      <w:ins w:id="49" w:author="Unknown Author" w:date="2026-10-18T22:30:32Z">
        <w:r>
          <w:rPr/>
          <w:t xml:space="preserve"> </w:t>
        </w:r>
      </w:ins>
      <w:ins w:id="50" w:author="Unknown Author" w:date="2026-10-18T22:30:32Z">
        <w:r>
          <w:rPr>
            <w:i/>
            <w:iCs/>
          </w:rPr>
          <w:t>Vista general de las minas de estaño Siglo XX</w:t>
        </w:r>
      </w:ins>
      <w:ins w:id="51" w:author="Unknown Author" w:date="2026-10-18T22:30:32Z">
        <w:r>
          <w:rPr/>
          <w:t xml:space="preserve"> (Patiño Mines and Enterprises), entre 1940 y 1946. La tira del negativo dice «Catavi». Fuente: Library of Congress, Prints &amp; Photographs Division, colección FSA/OWI, LC-USE6-D-000117. Dominio público.</w:t>
        </w:r>
      </w:ins>
    </w:p>
    <w:p>
      <w:pPr>
        <w:pStyle w:val="BodyText"/>
        <w:rPr/>
      </w:pPr>
      <w:r>
        <w:rP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 </w:t>
      </w:r>
      <w:r>
        <w:rPr>
          <w:i/>
          <w:iCs/>
        </w:rPr>
        <w:t>fotomontaje</w:t>
      </w:r>
      <w:r>
        <w:rPr/>
        <w:t>,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xml:space="preserve">, «mal de ojo, brujería» (Botelho Gosálvez, 1982 [1945]: 162): la espina del muñeco reaparece en la carne, y la efigie actúa. El narrador presenta a la multitud como animales, vuelve sexual la furia de Justina y sienta al lector en la tribuna, como un juez. Fuão llama </w:t>
      </w:r>
      <w:r>
        <w:rPr>
          <w:i/>
          <w:iCs/>
        </w:rPr>
        <w:t>voyeurismo</w:t>
      </w:r>
      <w:r>
        <w:rPr/>
        <w:t xml:space="preserve"> a esa posición: separar al observador del objeto «mediante un distanciamiento de la mirada y el ocultamiento del propio cuerpo» (Fuão, 2011: 24). Por eso la serie no dibuja el linchamiento: un pastel de ese cuerpo sería otra efigie, y reunir sus pedazos en una hoja, una collage.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(Botelho Gosálvez, 1982 [1945]: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rPr/>
      </w:pPr>
      <w:r>
        <w:rPr/>
        <w:drawing>
          <wp:inline distT="0" distB="0" distL="0" distR="0">
            <wp:extent cx="3839845" cy="57600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y la palabra </w:t>
      </w:r>
      <w:r>
        <w:rPr>
          <w:i/>
          <w:iCs/>
        </w:rPr>
        <w:t>cola</w:t>
      </w:r>
      <w:r>
        <w:rP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(ibid.: xiii).</w:t>
      </w:r>
    </w:p>
    <w:p>
      <w:pPr>
        <w:pStyle w:val="BodyText"/>
        <w:rPr>
          <w:ins w:id="54" w:author="Unknown Author" w:date="2026-10-18T22:30:32Z"/>
        </w:rPr>
      </w:pPr>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t>
      </w:r>
      <w:r>
        <w:rPr>
          <w:i/>
          <w:iCs/>
        </w:rPr>
        <w:t>wank’a</w:t>
      </w:r>
      <w:r>
        <w:rPr/>
        <w:t xml:space="preserve"> con dueño y con lugar.</w:t>
      </w:r>
      <w:ins w:id="53" w:author="Unknown Author" w:date="2026-10-18T22:30:32Z">
        <w:r>
          <w:rPr/>
          <w:t xml:space="preserve"> Pero abrir la tierra tiene historia en los Andes, y tuvo su herramienta. El arado que cuelga en la chujlla, junto al yugo (ibid.: 31), se hizo para el buey; el andino, para el cuerpo. En el agosto que dibujó Guaman Poma, una fila de hombres abre la tierra con arados de pie; las mujeres trabajan de rodillas frente a ellos, y el dibujo escribe su canto: «ayau haylli yau» (Guaman Poma de Ayala, 1615: 1153 [1163]; Imagen 5).</w:t>
        </w:r>
      </w:ins>
    </w:p>
    <w:p>
      <w:pPr>
        <w:pStyle w:val="Figura"/>
        <w:rPr>
          <w:ins w:id="56" w:author="Unknown Author" w:date="2026-10-18T22:30:32Z"/>
        </w:rPr>
      </w:pPr>
      <w:ins w:id="55" w:author="Unknown Author" w:date="2026-10-18T22:30:32Z">
        <w:r>
          <w:rPr/>
          <w:drawing>
            <wp:inline distT="0" distB="0" distL="0" distR="0">
              <wp:extent cx="2600960" cy="359981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2600960" cy="3599815"/>
                      </a:xfrm>
                      <a:prstGeom prst="rect">
                        <a:avLst/>
                      </a:prstGeom>
                    </pic:spPr>
                  </pic:pic>
                </a:graphicData>
              </a:graphic>
            </wp:inline>
          </w:drawing>
        </w:r>
      </w:ins>
    </w:p>
    <w:p>
      <w:pPr>
        <w:pStyle w:val="Piedefigura"/>
        <w:rPr>
          <w:ins w:id="63" w:author="Unknown Author" w:date="2026-10-18T22:30:32Z"/>
        </w:rPr>
      </w:pPr>
      <w:ins w:id="57" w:author="Unknown Author" w:date="2026-10-18T22:30:32Z">
        <w:r>
          <w:rPr>
            <w:b/>
            <w:bCs/>
          </w:rPr>
          <w:t>Imagen 5.</w:t>
        </w:r>
      </w:ins>
      <w:ins w:id="58" w:author="Unknown Author" w:date="2026-10-18T22:30:32Z">
        <w:r>
          <w:rPr/>
          <w:t xml:space="preserve"> </w:t>
        </w:r>
      </w:ins>
      <w:ins w:id="59" w:author="Unknown Author" w:date="2026-10-18T22:30:32Z">
        <w:r>
          <w:rPr>
            <w:i/>
            <w:iCs/>
          </w:rPr>
          <w:t>Agosto: cantos triunfales, tiempo de abrir las tierras</w:t>
        </w:r>
      </w:ins>
      <w:ins w:id="60" w:author="Unknown Author" w:date="2026-10-18T22:30:32Z">
        <w:r>
          <w:rPr/>
          <w:t xml:space="preserve">. Dibujo de Felipe Guaman Poma de Ayala, </w:t>
        </w:r>
      </w:ins>
      <w:ins w:id="61" w:author="Unknown Author" w:date="2026-10-18T22:30:32Z">
        <w:r>
          <w:rPr>
            <w:i/>
            <w:iCs/>
          </w:rPr>
          <w:t>Nueva corónica y buen gobierno</w:t>
        </w:r>
      </w:ins>
      <w:ins w:id="62" w:author="Unknown Author" w:date="2026-10-18T22:30:32Z">
        <w:r>
          <w:rPr/>
          <w:t>, 1615, p. 1153 [1163], dibujo 393. Fuente: Det Kgl. Bibliotek, Copenhague, GKS 2232 4º. Dominio público.</w:t>
        </w:r>
      </w:ins>
    </w:p>
    <w:p>
      <w:pPr>
        <w:pStyle w:val="BodyText"/>
        <w:rPr/>
      </w:pPr>
      <w:r>
        <w:rPr/>
        <w:t>La memoria se construye igual que la casa. Cada uno guarda sus padecimientos «con el mismo pudor de los ex carcelados», y la memoria «no recordaba sino lo pasado antiguo, lo bueno y lo alegre de las cosechas» (</w:t>
      </w:r>
      <w:ins w:id="64" w:author="Unknown Author" w:date="2026-10-18T22:30:32Z">
        <w:r>
          <w:rPr/>
          <w:t>Botelho Gosálvez, 1982 [1945]: 156</w:t>
        </w:r>
      </w:ins>
      <w:del w:id="65" w:author="Unknown Author" w:date="2026-10-18T22:30:32Z">
        <w:r>
          <w:rPr/>
          <w:delText>ibid.</w:delText>
        </w:r>
      </w:del>
      <w:r>
        <w:rPr/>
        <w:t>):</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(Figura 7). Dean lo dice de las piedras incas, «memorias materializadas»: «recordar una versión del pasado exige olvidar o reprimir otra versión de ese mismo pasado» (Dean, 2010: 39).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Dos versos seguidos de «Father Electricity» juntan los dos gestos de esa memoria: «I do not want to see the whole mess / I wish I could live in retrospect», no quiero ver todo el desastre; ojalá pudiera vivir mirando atrás (Julian Casablancas+The Voidz, 2014). Los comunarios miran atrás, pero no para caminar, como pide el lema, sino para saltar el foso: recuerdan las cosechas, no el hambre.</w:t>
      </w:r>
    </w:p>
    <w:p>
      <w:pPr>
        <w:pStyle w:val="BodyText"/>
        <w:rPr/>
      </w:pPr>
      <w:r>
        <w:rPr/>
        <w:t>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p>
    <w:p>
      <w:pPr>
        <w:pStyle w:val="BodyText"/>
        <w:rPr/>
      </w:pPr>
      <w:r>
        <w:rP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pPr>
      <w:r>
        <w:rPr/>
        <w:drawing>
          <wp:inline distT="0" distB="0" distL="0" distR="0">
            <wp:extent cx="5039995" cy="323977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Alexander, la collage, The Voidz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 </w:t>
      </w:r>
      <w:r>
        <w:rPr>
          <w:i/>
          <w:iCs/>
        </w:rPr>
        <w:t>décollage</w:t>
      </w:r>
      <w:r>
        <w:rPr/>
        <w:t xml:space="preserve"> que despega lo que la memoria pegó,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w:t>
      </w:r>
      <w:del w:id="66" w:author="Unknown Author" w:date="2026-10-18T22:30:32Z">
        <w:r>
          <w:rPr/>
          <w:delText xml:space="preserve">y </w:delText>
        </w:r>
      </w:del>
      <w:r>
        <w:rPr/>
        <w:t>el diseño y trazado de los esquemas de encaje (figuras 1-6) y de los diagramas (figuras 7 y 8</w:t>
      </w:r>
      <w:ins w:id="67" w:author="Unknown Author" w:date="2026-10-18T22:30:32Z">
        <w:r>
          <w:rPr/>
          <w:t>), y la búsqueda, el cotejo con sus fuentes y la preparación de las imágenes de dominio público (imágenes 1-5</w:t>
        </w:r>
      </w:ins>
      <w:r>
        <w:rPr/>
        <w:t xml:space="preserve">).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Alexander, Christopher; Ishikawa, Sara y Silverstein, Murray (1977). </w:t>
      </w:r>
      <w:r>
        <w:rPr>
          <w:i/>
          <w:iCs/>
        </w:rPr>
        <w:t>A Pattern Language. Towns, Buildings, Construction</w:t>
      </w:r>
      <w:r>
        <w:rPr/>
        <w:t>. Nueva York: Oxford University Press.</w:t>
      </w:r>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Bachelard, Gaston (1983 [1957]). </w:t>
      </w:r>
      <w:r>
        <w:rPr>
          <w:i/>
          <w:iCs/>
        </w:rPr>
        <w:t>La poética del espacio</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Fuão, Fernando Freitas (2011). </w:t>
      </w:r>
      <w:r>
        <w:rPr>
          <w:i/>
          <w:iCs/>
        </w:rPr>
        <w:t>A collage como trajetória amorosa</w:t>
      </w:r>
      <w:r>
        <w:rPr/>
        <w:t>. Porto Alegre: Editora da UFRGS.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ins w:id="71" w:author="Unknown Author" w:date="2026-10-18T22:30:32Z"/>
        </w:rPr>
      </w:pPr>
      <w:ins w:id="68" w:author="Unknown Author" w:date="2026-10-18T22:30:32Z">
        <w:r>
          <w:rPr/>
          <w:t xml:space="preserve">Guaman Poma de Ayala, Felipe (1615). </w:t>
        </w:r>
      </w:ins>
      <w:ins w:id="69" w:author="Unknown Author" w:date="2026-10-18T22:30:32Z">
        <w:r>
          <w:rPr>
            <w:i/>
            <w:iCs/>
          </w:rPr>
          <w:t>Nueva corónica y buen gobierno</w:t>
        </w:r>
      </w:ins>
      <w:ins w:id="70" w:author="Unknown Author" w:date="2026-10-18T22:30:32Z">
        <w:r>
          <w:rPr/>
          <w:t>. Manuscrito GKS 2232 4º. Copenhague: Det Kgl. Bibliotek. Edición digital: https://poma.kb.dk/permalink/2006/poma/info/es/frontpage.htm</w:t>
        </w:r>
      </w:ins>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 xml:space="preserve">Julian Casablancas+The Voidz (2014). </w:t>
      </w:r>
      <w:r>
        <w:rPr>
          <w:i/>
          <w:iCs/>
        </w:rPr>
        <w:t>Tyranny</w:t>
      </w:r>
      <w:r>
        <w:rPr/>
        <w:t xml:space="preserve"> [álbum]. Cult Records. Pista 6, «Father Electricity».</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Monteys, Xavier y Fuertes, Pere (2001). </w:t>
      </w:r>
      <w:r>
        <w:rPr>
          <w:i/>
          <w:iCs/>
        </w:rPr>
        <w:t>Casa collage. Un ensayo sobre la arquitectura de la casa</w:t>
      </w:r>
      <w:r>
        <w:rPr/>
        <w:t>. Barcelona: Gustavo Gili.</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ins w:id="75" w:author="Unknown Author" w:date="2026-10-18T22:30:32Z"/>
        </w:rPr>
      </w:pPr>
      <w:ins w:id="72" w:author="Unknown Author" w:date="2026-10-18T22:30:32Z">
        <w:r>
          <w:rPr/>
          <w:t xml:space="preserve">Squier, Ephraim George (1877). </w:t>
        </w:r>
      </w:ins>
      <w:ins w:id="73" w:author="Unknown Author" w:date="2026-10-18T22:30:32Z">
        <w:r>
          <w:rPr>
            <w:i/>
            <w:iCs/>
          </w:rPr>
          <w:t>Peru: Incidents of Travel and Exploration in the Land of the Incas</w:t>
        </w:r>
      </w:ins>
      <w:ins w:id="74" w:author="Unknown Author" w:date="2026-10-18T22:30:32Z">
        <w:r>
          <w:rPr/>
          <w:t>. Nueva York: Harper &amp; Brothers.</w:t>
        </w:r>
      </w:ins>
    </w:p>
    <w:p>
      <w:pPr>
        <w:pStyle w:val="BodyText"/>
        <w:rPr/>
      </w:pPr>
      <w:r>
        <w:rPr/>
        <w:t xml:space="preserve">The Voidz (2018). </w:t>
      </w:r>
      <w:r>
        <w:rPr>
          <w:i/>
          <w:iCs/>
        </w:rPr>
        <w:t>Virtue</w:t>
      </w:r>
      <w:r>
        <w:rPr/>
        <w:t xml:space="preserve"> [álbum]. Cult Records y RCA Records. Pistas 3, «Pyramid of Bones», y 7, «All Wordz Are Made Up». Letra según el librillo de la edición japonesa (Sony Music Labels, SICP 5689).</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 </w:t>
      </w:r>
      <w:r>
        <w:rPr>
          <w:i/>
          <w:iCs/>
        </w:rPr>
        <w:t>décollage</w:t>
      </w:r>
      <w:r>
        <w:rPr/>
        <w:t xml:space="preserve"> 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5">
    <w:p>
      <w:pPr>
        <w:pStyle w:val="FootnoteText"/>
        <w:spacing w:lineRule="auto" w:line="240" w:before="0" w:after="40"/>
        <w:rPr/>
      </w:pPr>
      <w:r>
        <w:rPr>
          <w:rStyle w:val="FootnoteCharacters"/>
        </w:rPr>
        <w:footnoteRef/>
      </w:r>
      <w:r>
        <w:rPr/>
        <w:t xml:space="preserve"> </w:t>
      </w:r>
      <w:r>
        <w:rPr/>
        <w:t>Se cita la página según la numeró Guaman Poma y, entre corchetes, la de la edición digital de la Biblioteca Real de Dinamarca.</w:t>
      </w:r>
    </w:p>
  </w:footnote>
  <w:footnote w:id="6">
    <w:p>
      <w:pPr>
        <w:pStyle w:val="FootnoteText"/>
        <w:spacing w:lineRule="auto" w:line="240" w:before="0" w:after="40"/>
        <w:rPr/>
      </w:pPr>
      <w:r>
        <w:rPr>
          <w:rStyle w:val="FootnoteCharacters"/>
        </w:rPr>
        <w:footnoteRef/>
      </w:r>
      <w:r>
        <w:rPr/>
        <w:t xml:space="preserve"> </w:t>
      </w:r>
      <w:r>
        <w:rPr/>
        <w:t>Este artículo está hecho, literalmente, de recortes: más de ciento cincuenta citas de la novela. Fuão ve en las comillas «la mejor evidencia del recorte», una herida que marca «una sutura de cuatro puntos» (Fuão, 2011: 39).</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notes" Target="footnotes.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2026-10-18T22:29:38Z</dcterms:created>
  <dc:creator/>
  <dc:description/>
  <dc:language>en-US</dc:language>
  <cp:lastModifiedBy/>
  <dcterms:modified xsi:type="dcterms:W3CDTF">2026-10-18T22:30:32Z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