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lista-de-envío"/>
    <w:p>
      <w:pPr>
        <w:pStyle w:val="Heading1"/>
      </w:pPr>
      <w:r>
        <w:t xml:space="preserve">Lista de envío</w:t>
      </w:r>
    </w:p>
    <w:p>
      <w:pPr>
        <w:pStyle w:val="FirstParagraph"/>
      </w:pPr>
      <w:r>
        <w:rPr>
          <w:b/>
          <w:bCs/>
        </w:rPr>
        <w:t xml:space="preserve">«Cosecha de piedras: el ayllu, el Estado y la mina. Dibujando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Altiplano</w:t>
      </w:r>
      <w:r>
        <w:rPr>
          <w:b/>
          <w:bCs/>
        </w:rPr>
        <w:t xml:space="preserve"> </w:t>
      </w:r>
      <w:r>
        <w:rPr>
          <w:b/>
          <w:bCs/>
        </w:rPr>
        <w:t xml:space="preserve">de Raúl Botelho Gosálvez»</w:t>
      </w:r>
      <w:r>
        <w:t xml:space="preserve">, de Joaquin Max Cuevas Ventura.</w:t>
      </w:r>
    </w:p>
    <w:p>
      <w:pPr>
        <w:pStyle w:val="BodyText"/>
      </w:pPr>
      <w:r>
        <w:t xml:space="preserve">Estado al 18 de octubre de 2026. Aquí está lo que ya se hizo y lo que te toca hacer antes de enviar el artículo, en orden.</w:t>
      </w:r>
    </w:p>
    <w:bookmarkStart w:id="9" w:name="el-artículo-hoy"/>
    <w:p>
      <w:pPr>
        <w:pStyle w:val="Heading2"/>
      </w:pPr>
      <w:r>
        <w:t xml:space="preserve">El artículo hoy</w:t>
      </w:r>
    </w:p>
    <w:tbl>
      <w:tblPr>
        <w:tblStyle w:val="Table"/>
        <w:tblW w:type="dxa" w:w="9405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1655"/>
        <w:gridCol w:w="7750"/>
      </w:tblGrid>
      <w:tr>
        <w:trPr>
          <w:cantSplit/>
          <w:tblHeader/>
        </w:trPr>
        <w:tc>
          <w:tcPr>
            <w:tcW w:type="dxa" w:w="1655"/>
            <w:shd w:val="clear" w:color="auto" w:fill="EDEDED"/>
          </w:tcPr>
          <w:p>
            <w:pPr>
              <w:pStyle w:val="Compact"/>
              <w:spacing w:line="240" w:lineRule="auto" w:after="20" w:before="20"/>
            </w:pPr>
            <w:r>
              <w:rPr>
                <w:b/>
                <w:sz w:val="19"/>
              </w:rPr>
              <w:t xml:space="preserve">Dato</w:t>
            </w:r>
          </w:p>
        </w:tc>
        <w:tc>
          <w:tcPr>
            <w:tcW w:type="dxa" w:w="7750"/>
            <w:shd w:val="clear" w:color="auto" w:fill="EDEDED"/>
          </w:tcPr>
          <w:p>
            <w:pPr>
              <w:pStyle w:val="Compact"/>
              <w:spacing w:line="240" w:lineRule="auto" w:after="20" w:before="20"/>
            </w:pPr>
            <w:r>
              <w:rPr>
                <w:b/>
                <w:sz w:val="19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1655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Extensión</w:t>
            </w:r>
          </w:p>
        </w:tc>
        <w:tc>
          <w:tcPr>
            <w:tcW w:type="dxa" w:w="7750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65.722 caracteres con espacios y 10.946 palabras, con notas y bibliografía. En Word, 33 páginas (tamaño carta, Times New Roman 12, interlineado 1,5)</w:t>
            </w:r>
          </w:p>
        </w:tc>
      </w:tr>
      <w:tr>
        <w:trPr>
          <w:cantSplit/>
        </w:trPr>
        <w:tc>
          <w:tcPr>
            <w:tcW w:type="dxa" w:w="1655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Resúmenes</w:t>
            </w:r>
          </w:p>
        </w:tc>
        <w:tc>
          <w:tcPr>
            <w:tcW w:type="dxa" w:w="7750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99 palabras en español y 90 en inglés</w:t>
            </w:r>
          </w:p>
        </w:tc>
      </w:tr>
      <w:tr>
        <w:trPr>
          <w:cantSplit/>
        </w:trPr>
        <w:tc>
          <w:tcPr>
            <w:tcW w:type="dxa" w:w="1655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Palabras clave</w:t>
            </w:r>
          </w:p>
        </w:tc>
        <w:tc>
          <w:tcPr>
            <w:tcW w:type="dxa" w:w="7750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Botelho Gosálvez; ayllu; despojo; manuaje; dibujo como investigación. En inglés: Botelho Gosálvez; ayllu; dispossession; manuage; drawing as research</w:t>
            </w:r>
          </w:p>
        </w:tc>
      </w:tr>
      <w:tr>
        <w:trPr>
          <w:cantSplit/>
        </w:trPr>
        <w:tc>
          <w:tcPr>
            <w:tcW w:type="dxa" w:w="1655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Títulos</w:t>
            </w:r>
          </w:p>
        </w:tc>
        <w:tc>
          <w:tcPr>
            <w:tcW w:type="dxa" w:w="7750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16 palabras en español y 15 en inglés. Si la revista pide 12 como máximo: «Cosecha de piedras: el ayllu, el Estado y la mina en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Altiplano</w:t>
            </w:r>
            <w:r>
              <w:rPr>
                <w:sz w:val="19"/>
              </w:rPr>
              <w:t xml:space="preserve">»</w:t>
            </w:r>
          </w:p>
        </w:tc>
      </w:tr>
      <w:tr>
        <w:trPr>
          <w:cantSplit/>
        </w:trPr>
        <w:tc>
          <w:tcPr>
            <w:tcW w:type="dxa" w:w="1655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Figuras</w:t>
            </w:r>
          </w:p>
        </w:tc>
        <w:tc>
          <w:tcPr>
            <w:tcW w:type="dxa" w:w="7750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Ocho. Las figuras 1 a 6 son los esquemas de encaje de los seis pasteles; la 7 y la 8, diagramas. Va además el Cuadro 1</w:t>
            </w:r>
          </w:p>
        </w:tc>
      </w:tr>
      <w:tr>
        <w:trPr>
          <w:cantSplit/>
        </w:trPr>
        <w:tc>
          <w:tcPr>
            <w:tcW w:type="dxa" w:w="1655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Imágenes</w:t>
            </w:r>
          </w:p>
        </w:tc>
        <w:tc>
          <w:tcPr>
            <w:tcW w:type="dxa" w:w="7750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Cinco de dominio público, en serie aparte (imágenes 1-5): tres dibujos de Guaman Poma, un grabado de Squier y una foto de la mina Siglo XX de la Library of Congress</w:t>
            </w:r>
          </w:p>
        </w:tc>
      </w:tr>
      <w:tr>
        <w:trPr>
          <w:cantSplit/>
        </w:trPr>
        <w:tc>
          <w:tcPr>
            <w:tcW w:type="dxa" w:w="1655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Citas de la novela</w:t>
            </w:r>
          </w:p>
        </w:tc>
        <w:tc>
          <w:tcPr>
            <w:tcW w:type="dxa" w:w="7750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153 entre comillas y 2 en bloque. Todas se comprobaron contra la transcripción: existen tal cual y están en la página indicada</w:t>
            </w:r>
          </w:p>
        </w:tc>
      </w:tr>
      <w:tr>
        <w:trPr>
          <w:cantSplit/>
        </w:trPr>
        <w:tc>
          <w:tcPr>
            <w:tcW w:type="dxa" w:w="1655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Bibliografía</w:t>
            </w:r>
          </w:p>
        </w:tc>
        <w:tc>
          <w:tcPr>
            <w:tcW w:type="dxa" w:w="7750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34 obras</w:t>
            </w:r>
          </w:p>
        </w:tc>
      </w:tr>
      <w:tr>
        <w:trPr>
          <w:cantSplit/>
        </w:trPr>
        <w:tc>
          <w:tcPr>
            <w:tcW w:type="dxa" w:w="1655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Destino</w:t>
            </w:r>
          </w:p>
        </w:tc>
        <w:tc>
          <w:tcPr>
            <w:tcW w:type="dxa" w:w="7750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Sin elegir. La primera candidata es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Atenea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(véase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05_revistas_candidatas</w:t>
            </w:r>
            <w:r>
              <w:rPr>
                <w:sz w:val="19"/>
              </w:rPr>
              <w:t xml:space="preserve">)</w:t>
            </w:r>
          </w:p>
        </w:tc>
      </w:tr>
    </w:tbl>
    <w:bookmarkEnd w:id="9"/>
    <w:bookmarkStart w:id="10" w:name="lo-que-ya-está-hecho"/>
    <w:p>
      <w:pPr>
        <w:pStyle w:val="Heading2"/>
      </w:pPr>
      <w:r>
        <w:t xml:space="preserve">Lo que ya está hecho</w:t>
      </w:r>
    </w:p>
    <w:p>
      <w:pPr>
        <w:pStyle w:val="Compact"/>
        <w:numPr>
          <w:ilvl w:val="0"/>
          <w:numId w:val="1001"/>
        </w:numPr>
      </w:pPr>
      <w:r>
        <w:t xml:space="preserve">Texto final revisado, sin marcas pendientes ni erratas a la vista.</w:t>
      </w:r>
    </w:p>
    <w:p>
      <w:pPr>
        <w:pStyle w:val="Compact"/>
        <w:numPr>
          <w:ilvl w:val="0"/>
          <w:numId w:val="1002"/>
        </w:numPr>
      </w:pPr>
      <w:r>
        <w:t xml:space="preserve">Línea de autoría y nota 1, de 80 palabras.</w:t>
      </w:r>
    </w:p>
    <w:p>
      <w:pPr>
        <w:pStyle w:val="Compact"/>
        <w:numPr>
          <w:ilvl w:val="0"/>
          <w:numId w:val="1003"/>
        </w:numPr>
      </w:pPr>
      <w:r>
        <w:t xml:space="preserve">Resumen, abstract, palabras clave y títulos en las dos lenguas.</w:t>
      </w:r>
    </w:p>
    <w:p>
      <w:pPr>
        <w:pStyle w:val="Compact"/>
        <w:numPr>
          <w:ilvl w:val="0"/>
          <w:numId w:val="1004"/>
        </w:numPr>
      </w:pPr>
      <w:r>
        <w:t xml:space="preserve">Declaración de conflicto de intereses y declaración de uso de IA.</w:t>
      </w:r>
    </w:p>
    <w:p>
      <w:pPr>
        <w:pStyle w:val="Compact"/>
        <w:numPr>
          <w:ilvl w:val="0"/>
          <w:numId w:val="1005"/>
        </w:numPr>
      </w:pPr>
      <w:r>
        <w:t xml:space="preserve">Citas de la novela comprobadas contra la transcripción, una por una. Cadenas de</w:t>
      </w:r>
      <w:r>
        <w:t xml:space="preserve"> </w:t>
      </w:r>
      <w:r>
        <w:rPr>
          <w:i/>
          <w:iCs/>
        </w:rPr>
        <w:t xml:space="preserve">ibid.</w:t>
      </w:r>
      <w:r>
        <w:t xml:space="preserve"> </w:t>
      </w:r>
      <w:r>
        <w:t xml:space="preserve">revisadas.</w:t>
      </w:r>
    </w:p>
    <w:p>
      <w:pPr>
        <w:pStyle w:val="Compact"/>
        <w:numPr>
          <w:ilvl w:val="0"/>
          <w:numId w:val="1006"/>
        </w:numPr>
      </w:pPr>
      <w:r>
        <w:t xml:space="preserve">Citas de las demás fuentes cotejadas con el texto de cada una, con su página.</w:t>
      </w:r>
    </w:p>
    <w:p>
      <w:pPr>
        <w:pStyle w:val="Compact"/>
        <w:numPr>
          <w:ilvl w:val="0"/>
          <w:numId w:val="1007"/>
        </w:numPr>
      </w:pPr>
      <w:r>
        <w:t xml:space="preserve">El pasaje de «Pyramid of Bones» sigue la letra oficial, la del librillo de la edición japonesa de</w:t>
      </w:r>
      <w:r>
        <w:t xml:space="preserve"> </w:t>
      </w:r>
      <w:r>
        <w:rPr>
          <w:i/>
          <w:iCs/>
        </w:rPr>
        <w:t xml:space="preserve">Virtue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Cinco imágenes de dominio público, en serie aparte, con su pie, su fuente y sus derechos comprobados en la ficha de cada institución (18 de octubre).</w:t>
      </w:r>
    </w:p>
    <w:p>
      <w:pPr>
        <w:pStyle w:val="Compact"/>
        <w:numPr>
          <w:ilvl w:val="0"/>
          <w:numId w:val="1009"/>
        </w:numPr>
      </w:pPr>
      <w:r>
        <w:t xml:space="preserve">Word regenerado con la versión final.</w:t>
      </w:r>
    </w:p>
    <w:bookmarkEnd w:id="10"/>
    <w:bookmarkStart w:id="23" w:name="lo-que-te-toca-en-orden"/>
    <w:p>
      <w:pPr>
        <w:pStyle w:val="Heading2"/>
      </w:pPr>
      <w:r>
        <w:t xml:space="preserve">Lo que te toca, en orden</w:t>
      </w:r>
    </w:p>
    <w:bookmarkStart w:id="11" w:name="Xda6ff0cb397ba8d51af5b9f7d0da590b3ab27b8"/>
    <w:p>
      <w:pPr>
        <w:pStyle w:val="Heading3"/>
      </w:pPr>
      <w:r>
        <w:t xml:space="preserve">1. Leer el artículo en voz alta y hacerlo tuyo</w:t>
      </w:r>
    </w:p>
    <w:p>
      <w:pPr>
        <w:pStyle w:val="FirstParagraph"/>
      </w:pPr>
      <w:r>
        <w:t xml:space="preserve">Cambia lo que no suene a ti. Antes de firmar, decide si sostienes cada interpretación. Las que más conviene mirar:</w:t>
      </w:r>
    </w:p>
    <w:p>
      <w:pPr>
        <w:pStyle w:val="Compact"/>
        <w:numPr>
          <w:ilvl w:val="0"/>
          <w:numId w:val="1010"/>
        </w:numPr>
      </w:pPr>
      <w:r>
        <w:t xml:space="preserve">la escuela de Warisata, que la novela calla (sección 2);</w:t>
      </w:r>
    </w:p>
    <w:p>
      <w:pPr>
        <w:pStyle w:val="Compact"/>
        <w:numPr>
          <w:ilvl w:val="0"/>
          <w:numId w:val="1010"/>
        </w:numPr>
      </w:pPr>
      <w:r>
        <w:t xml:space="preserve">los tinterillos, que en la historia también asesoraron a las comunidades (sección 4);</w:t>
      </w:r>
    </w:p>
    <w:p>
      <w:pPr>
        <w:pStyle w:val="Compact"/>
        <w:numPr>
          <w:ilvl w:val="0"/>
          <w:numId w:val="1010"/>
        </w:numPr>
      </w:pPr>
      <w:r>
        <w:t xml:space="preserve">los vigías leídos como mojones, con el</w:t>
      </w:r>
      <w:r>
        <w:t xml:space="preserve"> </w:t>
      </w:r>
      <w:r>
        <w:rPr>
          <w:i/>
          <w:iCs/>
        </w:rPr>
        <w:t xml:space="preserve">achachi</w:t>
      </w:r>
      <w:r>
        <w:t xml:space="preserve"> </w:t>
      </w:r>
      <w:r>
        <w:t xml:space="preserve">y la</w:t>
      </w:r>
      <w:r>
        <w:t xml:space="preserve"> </w:t>
      </w:r>
      <w:r>
        <w:rPr>
          <w:i/>
          <w:iCs/>
        </w:rPr>
        <w:t xml:space="preserve">saywa</w:t>
      </w:r>
      <w:r>
        <w:t xml:space="preserve"> </w:t>
      </w:r>
      <w:r>
        <w:t xml:space="preserve">de Bertonio (Figura 6);</w:t>
      </w:r>
    </w:p>
    <w:p>
      <w:pPr>
        <w:pStyle w:val="Compact"/>
        <w:numPr>
          <w:ilvl w:val="0"/>
          <w:numId w:val="1010"/>
        </w:numPr>
      </w:pPr>
      <w:r>
        <w:t xml:space="preserve">la apacheta sin montón (Figura 3);</w:t>
      </w:r>
    </w:p>
    <w:p>
      <w:pPr>
        <w:pStyle w:val="Compact"/>
        <w:numPr>
          <w:ilvl w:val="0"/>
          <w:numId w:val="1010"/>
        </w:numPr>
      </w:pPr>
      <w:r>
        <w:t xml:space="preserve">los dos agarres de la mano y la huella dactilar «como un sello» (secciones 2 y 5);</w:t>
      </w:r>
    </w:p>
    <w:p>
      <w:pPr>
        <w:pStyle w:val="Compact"/>
        <w:numPr>
          <w:ilvl w:val="0"/>
          <w:numId w:val="1010"/>
        </w:numPr>
      </w:pPr>
      <w:r>
        <w:t xml:space="preserve">las dos analogías: el esgrafiado (sección 1) y la pirca de doble cara (sección 7);</w:t>
      </w:r>
    </w:p>
    <w:p>
      <w:pPr>
        <w:pStyle w:val="Compact"/>
        <w:numPr>
          <w:ilvl w:val="0"/>
          <w:numId w:val="1010"/>
        </w:numPr>
      </w:pPr>
      <w:r>
        <w:t xml:space="preserve">el cierre de la Figura 1: el narrador declara cerrada el alma de los comunarios y los ve como estatuas;</w:t>
      </w:r>
    </w:p>
    <w:p>
      <w:pPr>
        <w:pStyle w:val="Compact"/>
        <w:numPr>
          <w:ilvl w:val="0"/>
          <w:numId w:val="1010"/>
        </w:numPr>
      </w:pPr>
      <w:r>
        <w:t xml:space="preserve">el</w:t>
      </w:r>
      <w:r>
        <w:t xml:space="preserve"> </w:t>
      </w:r>
      <w:r>
        <w:rPr>
          <w:i/>
          <w:iCs/>
        </w:rPr>
        <w:t xml:space="preserve">qalachuyma</w:t>
      </w:r>
      <w:r>
        <w:t xml:space="preserve">, que el artículo presenta como parte de un relato de Spedding (sección 7);</w:t>
      </w:r>
    </w:p>
    <w:p>
      <w:pPr>
        <w:pStyle w:val="Compact"/>
        <w:numPr>
          <w:ilvl w:val="0"/>
          <w:numId w:val="1010"/>
        </w:numPr>
      </w:pPr>
      <w:r>
        <w:t xml:space="preserve">los cruces con la cultura popular: el apodo «el lobo» del Alcalde y las tres canciones de The Voidz (secciones 2, 3, 4 y 7);</w:t>
      </w:r>
    </w:p>
    <w:p>
      <w:pPr>
        <w:pStyle w:val="Compact"/>
        <w:numPr>
          <w:ilvl w:val="0"/>
          <w:numId w:val="1010"/>
        </w:numPr>
      </w:pPr>
      <w:r>
        <w:t xml:space="preserve">las frases que acompañan a las imágenes, sobre todo dos: el anciano que labraba una piedra al pie de la Puerta del Sol y que Squier llegó a ver «como parte integrante de los monumentos» (sección 3), y el arado de pie de Guaman Poma, hecho para el cuerpo, frente al arado de buey de la chujlla (sección 7).</w:t>
      </w:r>
    </w:p>
    <w:p>
      <w:pPr>
        <w:pStyle w:val="FirstParagraph"/>
      </w:pPr>
      <w:r>
        <w:t xml:space="preserve">Si cambias algo, regenera el Word con</w:t>
      </w:r>
      <w:r>
        <w:t xml:space="preserve"> </w:t>
      </w:r>
      <w:r>
        <w:rPr>
          <w:rStyle w:val="VerbatimChar"/>
        </w:rPr>
        <w:t xml:space="preserve">python3 articulo/generar_docx.py</w:t>
      </w:r>
      <w:r>
        <w:t xml:space="preserve"> </w:t>
      </w:r>
      <w:r>
        <w:t xml:space="preserve">y después los entregables con</w:t>
      </w:r>
      <w:r>
        <w:t xml:space="preserve"> </w:t>
      </w:r>
      <w:r>
        <w:rPr>
          <w:rStyle w:val="VerbatimChar"/>
        </w:rPr>
        <w:t xml:space="preserve">python3 entregables/generar_entregables.py</w:t>
      </w:r>
      <w:r>
        <w:t xml:space="preserve">.</w:t>
      </w:r>
    </w:p>
    <w:bookmarkEnd w:id="11"/>
    <w:bookmarkStart w:id="12" w:name="confirmar-el-epígrafe"/>
    <w:p>
      <w:pPr>
        <w:pStyle w:val="Heading3"/>
      </w:pPr>
      <w:r>
        <w:t xml:space="preserve">2. Confirmar el epígrafe</w:t>
      </w:r>
    </w:p>
    <w:p>
      <w:pPr>
        <w:pStyle w:val="FirstParagraph"/>
      </w:pPr>
      <w:r>
        <w:t xml:space="preserve">Hoy el artículo abre con el lema del Taller de Historia Oral Andina: «Mirando al pasado para caminar por el presente y el futuro (</w:t>
      </w:r>
      <w:r>
        <w:rPr>
          <w:i/>
          <w:iCs/>
        </w:rPr>
        <w:t xml:space="preserve">qhip nayr uñtasis sarnaqapxañani</w:t>
      </w:r>
      <w:r>
        <w:t xml:space="preserve">)» (Rivera Cusicanqui, 2010 [1984]: 17). Habla de la memoria, da la primera palabra a una voz aymara colectiva y prepara la crítica de la sección 7.</w:t>
      </w:r>
    </w:p>
    <w:p>
      <w:pPr>
        <w:pStyle w:val="BodyText"/>
      </w:pPr>
      <w:r>
        <w:t xml:space="preserve">Si prefieres que el epígrafe nombre la piedra o la cosecha, hay tres alternativas ya comprobadas en su fuente:</w:t>
      </w:r>
    </w:p>
    <w:tbl>
      <w:tblPr>
        <w:tblStyle w:val="Table"/>
        <w:tblW w:type="dxa" w:w="9405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1179"/>
        <w:gridCol w:w="3641"/>
        <w:gridCol w:w="1956"/>
        <w:gridCol w:w="2630"/>
      </w:tblGrid>
      <w:tr>
        <w:trPr>
          <w:cantSplit/>
          <w:tblHeader/>
        </w:trPr>
        <w:tc>
          <w:tcPr>
            <w:tcW w:type="dxa" w:w="1179"/>
            <w:shd w:val="clear" w:color="auto" w:fill="EDEDED"/>
          </w:tcPr>
          <w:p>
            <w:pPr>
              <w:pStyle w:val="Compact"/>
              <w:spacing w:line="240" w:lineRule="auto" w:after="20" w:before="20"/>
            </w:pPr>
            <w:r>
              <w:rPr>
                <w:b/>
                <w:sz w:val="19"/>
              </w:rPr>
              <w:t xml:space="preserve">Opción</w:t>
            </w:r>
          </w:p>
        </w:tc>
        <w:tc>
          <w:tcPr>
            <w:tcW w:type="dxa" w:w="3641"/>
            <w:shd w:val="clear" w:color="auto" w:fill="EDEDED"/>
          </w:tcPr>
          <w:p>
            <w:pPr>
              <w:pStyle w:val="Compact"/>
              <w:spacing w:line="240" w:lineRule="auto" w:after="20" w:before="20"/>
            </w:pPr>
            <w:r>
              <w:rPr>
                <w:b/>
                <w:sz w:val="19"/>
              </w:rPr>
              <w:t xml:space="preserve">Texto</w:t>
            </w:r>
          </w:p>
        </w:tc>
        <w:tc>
          <w:tcPr>
            <w:tcW w:type="dxa" w:w="1956"/>
            <w:shd w:val="clear" w:color="auto" w:fill="EDEDED"/>
          </w:tcPr>
          <w:p>
            <w:pPr>
              <w:pStyle w:val="Compact"/>
              <w:spacing w:line="240" w:lineRule="auto" w:after="20" w:before="20"/>
            </w:pPr>
            <w:r>
              <w:rPr>
                <w:b/>
                <w:sz w:val="19"/>
              </w:rPr>
              <w:t xml:space="preserve">Qué hace</w:t>
            </w:r>
          </w:p>
        </w:tc>
        <w:tc>
          <w:tcPr>
            <w:tcW w:type="dxa" w:w="2630"/>
            <w:shd w:val="clear" w:color="auto" w:fill="EDEDED"/>
          </w:tcPr>
          <w:p>
            <w:pPr>
              <w:pStyle w:val="Compact"/>
              <w:spacing w:line="240" w:lineRule="auto" w:after="20" w:before="20"/>
            </w:pPr>
            <w:r>
              <w:rPr>
                <w:b/>
                <w:sz w:val="19"/>
              </w:rPr>
              <w:t xml:space="preserve">Cuidado</w:t>
            </w:r>
          </w:p>
        </w:tc>
      </w:tr>
      <w:tr>
        <w:trPr>
          <w:cantSplit/>
        </w:trPr>
        <w:tc>
          <w:tcPr>
            <w:tcW w:type="dxa" w:w="1179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A. Bertonio</w:t>
            </w:r>
          </w:p>
        </w:tc>
        <w:tc>
          <w:tcPr>
            <w:tcW w:type="dxa" w:w="3641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«Montón de papa cubierto de ichu.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Qäna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vel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phina</w:t>
            </w:r>
            <w:r>
              <w:rPr>
                <w:sz w:val="19"/>
              </w:rPr>
              <w:t xml:space="preserve">. Montón de piedras como las que suele haber por las chácaras.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Qala chaxwa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pünqu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qutu</w:t>
            </w:r>
            <w:r>
              <w:rPr>
                <w:sz w:val="19"/>
              </w:rPr>
              <w:t xml:space="preserve">» (Bertonio, 2011 [1612]: 220)</w:t>
            </w:r>
          </w:p>
        </w:tc>
        <w:tc>
          <w:tcPr>
            <w:tcW w:type="dxa" w:w="1956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Junta el montón de la cosecha y el de las piedras: la «cosecha de piedras» dicha en aymara</w:t>
            </w:r>
          </w:p>
        </w:tc>
        <w:tc>
          <w:tcPr>
            <w:tcW w:type="dxa" w:w="2630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Habla un vocabulario jesuita, no un aymara. Esta entrada escribe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chaxwa</w:t>
            </w:r>
            <w:r>
              <w:rPr>
                <w:sz w:val="19"/>
              </w:rPr>
              <w:t xml:space="preserve">; la de la sección 1,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chhaxwa</w:t>
            </w:r>
            <w:r>
              <w:rPr>
                <w:sz w:val="19"/>
              </w:rPr>
              <w:t xml:space="preserve">: se respeta cada una</w:t>
            </w:r>
          </w:p>
        </w:tc>
      </w:tr>
      <w:tr>
        <w:trPr>
          <w:cantSplit/>
        </w:trPr>
        <w:tc>
          <w:tcPr>
            <w:tcW w:type="dxa" w:w="1179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B. El capataz de la mina</w:t>
            </w:r>
          </w:p>
        </w:tc>
        <w:tc>
          <w:tcPr>
            <w:tcW w:type="dxa" w:w="3641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«Aquí cosecharás miles de cargas de estaño… Las papas de estaño las siembra el diablo ¿sabes?» (Botelho Gosálvez, 1982 [1945]: 142)</w:t>
            </w:r>
          </w:p>
        </w:tc>
        <w:tc>
          <w:tcPr>
            <w:tcW w:type="dxa" w:w="1956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La cosecha del título vuelta mina</w:t>
            </w:r>
          </w:p>
        </w:tc>
        <w:tc>
          <w:tcPr>
            <w:tcW w:type="dxa" w:w="2630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Da la primera palabra a quien se burla de Condori. La primera frase ya está en la sección 5</w:t>
            </w:r>
          </w:p>
        </w:tc>
      </w:tr>
      <w:tr>
        <w:trPr>
          <w:cantSplit/>
        </w:trPr>
        <w:tc>
          <w:tcPr>
            <w:tcW w:type="dxa" w:w="1179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C. Le Guin</w:t>
            </w:r>
          </w:p>
        </w:tc>
        <w:tc>
          <w:tcPr>
            <w:tcW w:type="dxa" w:w="3641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«[…] antes de la herramienta que expulsa energía hacia fuera, creamos la herramienta que lleva energía a casa» (Le Guin, 2021 [1986]: 6)</w:t>
            </w:r>
          </w:p>
        </w:tc>
        <w:tc>
          <w:tcPr>
            <w:tcW w:type="dxa" w:w="1956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Anuncia la oposición entre el arma y el recipiente de las conclusiones</w:t>
            </w:r>
          </w:p>
        </w:tc>
        <w:tc>
          <w:tcPr>
            <w:tcW w:type="dxa" w:w="2630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Es una voz ajena a los Andes, ya citada dos veces, y no nombra la piedra</w:t>
            </w:r>
          </w:p>
        </w:tc>
      </w:tr>
    </w:tbl>
    <w:p>
      <w:pPr>
        <w:pStyle w:val="BodyText"/>
      </w:pPr>
      <w:r>
        <w:t xml:space="preserve">Si cambias el epígrafe, cambia también una frase de la sección 7. Donde dice «Es lo contrario del lema del epígrafe: los comunarios de la novela no caminan mirando al pasado; lo esconden en un foso», puede decir: «Al revés del lema del Taller de Historia Oral Andina (Rivera Cusicanqui, 2010 [1984]: 17), los comunarios no caminan mirando al pasado: lo esconden en un foso».</w:t>
      </w:r>
    </w:p>
    <w:bookmarkEnd w:id="12"/>
    <w:bookmarkStart w:id="13" w:name="revisar-la-declaración-de-uso-de-ia"/>
    <w:p>
      <w:pPr>
        <w:pStyle w:val="Heading3"/>
      </w:pPr>
      <w:r>
        <w:t xml:space="preserve">3. Revisar la declaración de uso de IA</w:t>
      </w:r>
    </w:p>
    <w:p>
      <w:pPr>
        <w:pStyle w:val="FirstParagraph"/>
      </w:pPr>
      <w:r>
        <w:t xml:space="preserve">Así figura hoy en el artículo:</w:t>
      </w:r>
    </w:p>
    <w:p>
      <w:pPr>
        <w:pStyle w:val="BlockText"/>
      </w:pPr>
      <w:r>
        <w:t xml:space="preserve">a)</w:t>
      </w:r>
      <w:r>
        <w:t xml:space="preserve"> </w:t>
      </w:r>
      <w:r>
        <w:rPr>
          <w:i/>
          <w:iCs/>
        </w:rPr>
        <w:t xml:space="preserve">Herramientas</w:t>
      </w:r>
      <w:r>
        <w:t xml:space="preserve">: Claude (Anthropic) y ChatGPT (OpenAI), asistentes de IA generativa. b)</w:t>
      </w:r>
      <w:r>
        <w:t xml:space="preserve"> </w:t>
      </w:r>
      <w:r>
        <w:rPr>
          <w:i/>
          <w:iCs/>
        </w:rPr>
        <w:t xml:space="preserve">Alcance</w:t>
      </w:r>
      <w:r>
        <w:t xml:space="preserve">: se emplearon en la exploración bibliográfica, la transcripción y paginación de fuentes digitalizadas, la localización y el cotejo de citas con su página, el contraste de pasajes de la novela, la revisión conceptual y la redacción de borradores, el diseño y trazado de los esquemas de encaje (figuras 1-6) y de los diagramas (figuras 7 y 8), y la búsqueda, el cotejo con sus fuentes y la preparación de las imágenes de dominio público (imágenes 1-5). c)</w:t>
      </w:r>
      <w:r>
        <w:t xml:space="preserve"> </w:t>
      </w:r>
      <w:r>
        <w:rPr>
          <w:i/>
          <w:iCs/>
        </w:rPr>
        <w:t xml:space="preserve">Rol</w:t>
      </w:r>
      <w:r>
        <w:t xml:space="preserve">: el autor concibió la hipótesis original, diseñó la metodología de lectura tectónica, seleccionó las fuentes, decidió las interpretaciones, dirigió y revisó la redacción y es autor exclusivo de los pasteles al óleo que sustentan la investigación; asume la plena responsabilidad intelectual por la versión final del manuscrito.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Describe lo que se hizo.</w:t>
      </w:r>
      <w:r>
        <w:t xml:space="preserve"> </w:t>
      </w:r>
      <w:r>
        <w:t xml:space="preserve">El alcance incluye la redacción de borradores, el trazado de las ocho figuras y la búsqueda de las cinco imágenes porque así se preparó el texto. Las imágenes son históricas: ninguna se hizo con IA.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Si reescribes el artículo con tus palabras</w:t>
      </w:r>
      <w:r>
        <w:t xml:space="preserve"> </w:t>
      </w:r>
      <w:r>
        <w:t xml:space="preserve">antes de enviarlo, puedes decirlo en el rol.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Cuando entren los escaneos de los pasteles,</w:t>
      </w:r>
      <w:r>
        <w:t xml:space="preserve"> </w:t>
      </w:r>
      <w:r>
        <w:t xml:space="preserve">quita del alcance «el diseño y trazado de los esquemas de encaje (figuras 1-6)». Si las exploraciones con GPT Image 2 influyeron en los pasteles, dilo.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Si redibujas a mano los diagramas 7 y 8,</w:t>
      </w:r>
      <w:r>
        <w:t xml:space="preserve"> </w:t>
      </w:r>
      <w:r>
        <w:t xml:space="preserve">quítalos también del alcance y cambia sus pies.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Lee la política de IA de la revista elegida.</w:t>
      </w:r>
      <w:r>
        <w:t xml:space="preserve"> </w:t>
      </w:r>
      <w:r>
        <w:t xml:space="preserve">Al menos una de primera línea, la</w:t>
      </w:r>
      <w:r>
        <w:t xml:space="preserve"> </w:t>
      </w:r>
      <w:r>
        <w:rPr>
          <w:i/>
          <w:iCs/>
        </w:rPr>
        <w:t xml:space="preserve">Revista Hispánica Moderna</w:t>
      </w:r>
      <w:r>
        <w:t xml:space="preserve">, prohíbe redactar con IA generativa.</w:t>
      </w:r>
    </w:p>
    <w:bookmarkEnd w:id="13"/>
    <w:bookmarkStart w:id="14" w:name="hacer-los-pasteles-y-cambiar-las-figuras"/>
    <w:p>
      <w:pPr>
        <w:pStyle w:val="Heading3"/>
      </w:pPr>
      <w:r>
        <w:t xml:space="preserve">4. Hacer los pasteles y cambiar las figuras</w:t>
      </w:r>
    </w:p>
    <w:p>
      <w:pPr>
        <w:pStyle w:val="FirstParagraph"/>
      </w:pPr>
      <w:r>
        <w:t xml:space="preserve">La guía está en</w:t>
      </w:r>
      <w:r>
        <w:t xml:space="preserve"> </w:t>
      </w:r>
      <w:r>
        <w:rPr>
          <w:rStyle w:val="VerbatimChar"/>
        </w:rPr>
        <w:t xml:space="preserve">03_guia_de_los_seis_pasteles</w:t>
      </w:r>
      <w:r>
        <w:t xml:space="preserve">. Cuando tengas los escaneos:</w:t>
      </w:r>
    </w:p>
    <w:p>
      <w:pPr>
        <w:pStyle w:val="Compact"/>
        <w:numPr>
          <w:ilvl w:val="0"/>
          <w:numId w:val="1012"/>
        </w:numPr>
      </w:pPr>
      <w:r>
        <w:t xml:space="preserve">reemplaza los esquemas de las figuras 1 a 6 (la guía explica cómo, paso a paso);</w:t>
      </w:r>
    </w:p>
    <w:p>
      <w:pPr>
        <w:pStyle w:val="Compact"/>
        <w:numPr>
          <w:ilvl w:val="0"/>
          <w:numId w:val="1012"/>
        </w:numPr>
      </w:pPr>
      <w:r>
        <w:t xml:space="preserve">escribe en cada pie el soporte, las medidas y el año, en lugar de «Esquema de encaje del pastel al óleo. Fuente: elaboración propia con asistencia de IA»;</w:t>
      </w:r>
    </w:p>
    <w:p>
      <w:pPr>
        <w:pStyle w:val="Compact"/>
        <w:numPr>
          <w:ilvl w:val="0"/>
          <w:numId w:val="1012"/>
        </w:numPr>
      </w:pPr>
      <w:r>
        <w:t xml:space="preserve">reescribe el plano (3),</w:t>
      </w:r>
      <w:r>
        <w:t xml:space="preserve"> </w:t>
      </w:r>
      <w:r>
        <w:rPr>
          <w:i/>
          <w:iCs/>
        </w:rPr>
        <w:t xml:space="preserve">Contraste</w:t>
      </w:r>
      <w:r>
        <w:t xml:space="preserve">, de cada figura con lo que hizo el pastel;</w:t>
      </w:r>
    </w:p>
    <w:p>
      <w:pPr>
        <w:pStyle w:val="Compact"/>
        <w:numPr>
          <w:ilvl w:val="0"/>
          <w:numId w:val="1012"/>
        </w:numPr>
      </w:pPr>
      <w:r>
        <w:t xml:space="preserve">ajusta la declaración de IA (paso 3).</w:t>
      </w:r>
    </w:p>
    <w:p>
      <w:pPr>
        <w:pStyle w:val="FirstParagraph"/>
      </w:pPr>
      <w:r>
        <w:t xml:space="preserve">Revisa también las notaciones de las figuras 1 a 6 (rótulos y decisiones marcadas con asterisco) y los diagramas 7 y 8 (rótulos y páginas). Decide si los diagramas entran.</w:t>
      </w:r>
    </w:p>
    <w:bookmarkEnd w:id="14"/>
    <w:bookmarkStart w:id="15" w:name="X93ad7f9da7679861691a757275eadf4d85486fe"/>
    <w:p>
      <w:pPr>
        <w:pStyle w:val="Heading3"/>
      </w:pPr>
      <w:r>
        <w:t xml:space="preserve">5. Pedir las imágenes de Guaman Poma en alta resolución</w:t>
      </w:r>
    </w:p>
    <w:p>
      <w:pPr>
        <w:pStyle w:val="FirstParagraph"/>
      </w:pPr>
      <w:r>
        <w:t xml:space="preserve">Las cinco imágenes de dominio público ya están en el artículo (</w:t>
      </w:r>
      <w:r>
        <w:rPr>
          <w:rStyle w:val="VerbatimChar"/>
        </w:rPr>
        <w:t xml:space="preserve">articulo/figuras/imagen_1.jpg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imagen_5.jpg</w:t>
      </w:r>
      <w:r>
        <w:t xml:space="preserve">). Dos alcanzan para imprimir: el grabado de Squier (Imagen 2) y la foto de la mina Siglo XX (Imagen 4). Las tres de Guaman Poma, no: la Biblioteca Real de Dinamarca solo da 550 px de alto en su web.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Pide a la biblioteca</w:t>
      </w:r>
      <w:r>
        <w:t xml:space="preserve"> </w:t>
      </w:r>
      <w:r>
        <w:t xml:space="preserve">(kb@kb.dk) los cuatro dibujos del manuscrito GKS 2232 4º, con su paginación: 814 [828], 215 [217], 360 [362] y 1153 [1163]. Pregunta el costo, si lo tiene, y qué línea de crédito piden.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Cuando lleguen,</w:t>
      </w:r>
      <w:r>
        <w:t xml:space="preserve"> </w:t>
      </w:r>
      <w:r>
        <w:t xml:space="preserve">guárdalos con el mismo nombre en</w:t>
      </w:r>
      <w:r>
        <w:t xml:space="preserve"> </w:t>
      </w:r>
      <w:r>
        <w:rPr>
          <w:rStyle w:val="VerbatimChar"/>
        </w:rPr>
        <w:t xml:space="preserve">articulo/figuras/</w:t>
      </w:r>
      <w:r>
        <w:t xml:space="preserve"> </w:t>
      </w:r>
      <w:r>
        <w:t xml:space="preserve">y regenera el Word (</w:t>
      </w:r>
      <w:r>
        <w:rPr>
          <w:rStyle w:val="VerbatimChar"/>
        </w:rPr>
        <w:t xml:space="preserve">articulo/figuras/LEEME.md</w:t>
      </w:r>
      <w:r>
        <w:t xml:space="preserve"> </w:t>
      </w:r>
      <w:r>
        <w:t xml:space="preserve">explica el díptico de la Imagen 3).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Decide la numeración.</w:t>
      </w:r>
      <w:r>
        <w:t xml:space="preserve"> </w:t>
      </w:r>
      <w:r>
        <w:t xml:space="preserve">Las imágenes van en serie aparte para no mover las figuras. Si la revista pide una sola serie, hay que renumerar todo por orden de aparición.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Una imagen más, si la consigues.</w:t>
      </w:r>
      <w:r>
        <w:t xml:space="preserve"> </w:t>
      </w:r>
      <w:r>
        <w:t xml:space="preserve">La apacheta entre Pelechuco y Queara, de la expedición de Erland Nordenskiöld (1904-1905), está en Wikimedia Commons («Bolivia - SMVK - 002387»). Desde el entorno de trabajo no se pudo bajar. Si la bajas desde tu navegador y su ficha confirma una licencia libre, entraría junto a la Figura 3 (</w:t>
      </w:r>
      <w:r>
        <w:rPr>
          <w:rStyle w:val="VerbatimChar"/>
        </w:rPr>
        <w:t xml:space="preserve">analisis/31_proyecto_de_imagenes_de_dominio_publico.md</w:t>
      </w:r>
      <w:r>
        <w:t xml:space="preserve"> </w:t>
      </w:r>
      <w:r>
        <w:t xml:space="preserve">trae la frase y el pie).</w:t>
      </w:r>
    </w:p>
    <w:bookmarkEnd w:id="15"/>
    <w:bookmarkStart w:id="16" w:name="cotejar-las-citas-con-el-libro-impreso"/>
    <w:p>
      <w:pPr>
        <w:pStyle w:val="Heading3"/>
      </w:pPr>
      <w:r>
        <w:t xml:space="preserve">6. Cotejar las citas con el libro impreso</w:t>
      </w:r>
    </w:p>
    <w:p>
      <w:pPr>
        <w:pStyle w:val="FirstParagraph"/>
      </w:pPr>
      <w:r>
        <w:t xml:space="preserve">Usa</w:t>
      </w:r>
      <w:r>
        <w:t xml:space="preserve"> </w:t>
      </w:r>
      <w:r>
        <w:rPr>
          <w:rStyle w:val="VerbatimChar"/>
        </w:rPr>
        <w:t xml:space="preserve">04_fichero_de_pasajes</w:t>
      </w:r>
      <w:r>
        <w:t xml:space="preserve">: trae las citas de la novela por página, con una casilla para marcar. Empieza por las pp. 88-107, donde la transcripción repite texto y alguna cita puede estar corrida una página.</w:t>
      </w:r>
    </w:p>
    <w:p>
      <w:pPr>
        <w:pStyle w:val="BodyText"/>
      </w:pPr>
      <w:r>
        <w:t xml:space="preserve">Coteja también tres citas tomadas de fuentes escaneadas:</w:t>
      </w:r>
    </w:p>
    <w:p>
      <w:pPr>
        <w:pStyle w:val="Compact"/>
        <w:numPr>
          <w:ilvl w:val="0"/>
          <w:numId w:val="1014"/>
        </w:numPr>
      </w:pPr>
      <w:r>
        <w:t xml:space="preserve">Barnadas (1978 [1975]: 84), cuyo OCR estaba muy dañado;</w:t>
      </w:r>
    </w:p>
    <w:p>
      <w:pPr>
        <w:pStyle w:val="Compact"/>
        <w:numPr>
          <w:ilvl w:val="0"/>
          <w:numId w:val="1014"/>
        </w:numPr>
      </w:pPr>
      <w:r>
        <w:t xml:space="preserve">Zavaleta Mercado (1986: 21, n. 1);</w:t>
      </w:r>
    </w:p>
    <w:p>
      <w:pPr>
        <w:pStyle w:val="Compact"/>
        <w:numPr>
          <w:ilvl w:val="0"/>
          <w:numId w:val="1014"/>
        </w:numPr>
      </w:pPr>
      <w:r>
        <w:t xml:space="preserve">Cornejo Polar, si decides citar la 1.ª edición (véase el paso 7).</w:t>
      </w:r>
    </w:p>
    <w:bookmarkEnd w:id="16"/>
    <w:bookmarkStart w:id="17" w:name="X5c3564154e9ae9fca50d0cc5e4882c67b3b1c98"/>
    <w:p>
      <w:pPr>
        <w:pStyle w:val="Heading3"/>
      </w:pPr>
      <w:r>
        <w:t xml:space="preserve">7. Revisar los datos que no se pudieron comprobar del todo</w:t>
      </w:r>
    </w:p>
    <w:tbl>
      <w:tblPr>
        <w:tblStyle w:val="Table"/>
        <w:tblW w:type="dxa" w:w="9405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2470"/>
        <w:gridCol w:w="6935"/>
      </w:tblGrid>
      <w:tr>
        <w:trPr>
          <w:cantSplit/>
          <w:tblHeader/>
        </w:trPr>
        <w:tc>
          <w:tcPr>
            <w:tcW w:type="dxa" w:w="2470"/>
            <w:shd w:val="clear" w:color="auto" w:fill="EDEDED"/>
          </w:tcPr>
          <w:p>
            <w:pPr>
              <w:pStyle w:val="Compact"/>
              <w:spacing w:line="240" w:lineRule="auto" w:after="20" w:before="20"/>
            </w:pPr>
            <w:r>
              <w:rPr>
                <w:b/>
                <w:sz w:val="19"/>
              </w:rPr>
              <w:t xml:space="preserve">Fuente</w:t>
            </w:r>
          </w:p>
        </w:tc>
        <w:tc>
          <w:tcPr>
            <w:tcW w:type="dxa" w:w="6935"/>
            <w:shd w:val="clear" w:color="auto" w:fill="EDEDED"/>
          </w:tcPr>
          <w:p>
            <w:pPr>
              <w:pStyle w:val="Compact"/>
              <w:spacing w:line="240" w:lineRule="auto" w:after="20" w:before="20"/>
            </w:pPr>
            <w:r>
              <w:rPr>
                <w:b/>
                <w:sz w:val="19"/>
              </w:rPr>
              <w:t xml:space="preserve">Qué falta</w:t>
            </w:r>
          </w:p>
        </w:tc>
      </w:tr>
      <w:tr>
        <w:trPr>
          <w:cantSplit/>
        </w:trPr>
        <w:tc>
          <w:tcPr>
            <w:tcW w:type="dxa" w:w="2470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Cárcamo Pino (2019)</w:t>
            </w:r>
          </w:p>
        </w:tc>
        <w:tc>
          <w:tcPr>
            <w:tcW w:type="dxa" w:w="6935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El artículo pone «Cham: Springer», que publicó las actas de EGA 2018. Cárcamo Pino (2025b) las cita como «Alicante: EGA, 2019». Elige una forma</w:t>
            </w:r>
          </w:p>
        </w:tc>
      </w:tr>
      <w:tr>
        <w:trPr>
          <w:cantSplit/>
        </w:trPr>
        <w:tc>
          <w:tcPr>
            <w:tcW w:type="dxa" w:w="2470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Frampton (1995)</w:t>
            </w:r>
          </w:p>
        </w:tc>
        <w:tc>
          <w:tcPr>
            <w:tcW w:type="dxa" w:w="6935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Confirmar en la portada el editor (John Cava) y la ciudad</w:t>
            </w:r>
          </w:p>
        </w:tc>
      </w:tr>
      <w:tr>
        <w:trPr>
          <w:cantSplit/>
        </w:trPr>
        <w:tc>
          <w:tcPr>
            <w:tcW w:type="dxa" w:w="2470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Le Guin (2021 [1986])</w:t>
            </w:r>
          </w:p>
        </w:tc>
        <w:tc>
          <w:tcPr>
            <w:tcW w:type="dxa" w:w="6935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Completar la dirección exacta del texto en es.theanarchistlibrary.org</w:t>
            </w:r>
          </w:p>
        </w:tc>
      </w:tr>
      <w:tr>
        <w:trPr>
          <w:cantSplit/>
        </w:trPr>
        <w:tc>
          <w:tcPr>
            <w:tcW w:type="dxa" w:w="2470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Alexander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et al.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(1977)</w:t>
            </w:r>
          </w:p>
        </w:tc>
        <w:tc>
          <w:tcPr>
            <w:tcW w:type="dxa" w:w="6935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Las páginas citadas (xiii, xliii, 395, 405, 610-611, 621 y 1166) salen del OCR del libro. Cotejarlas con el impreso. Si consigues la edición castellana (Gustavo Gili), conviene citarla</w:t>
            </w:r>
          </w:p>
        </w:tc>
      </w:tr>
      <w:tr>
        <w:trPr>
          <w:cantSplit/>
        </w:trPr>
        <w:tc>
          <w:tcPr>
            <w:tcW w:type="dxa" w:w="2470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Martin (2014: 85) y Scott (2020 [1998]: 3)</w:t>
            </w:r>
          </w:p>
        </w:tc>
        <w:tc>
          <w:tcPr>
            <w:tcW w:type="dxa" w:w="6935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Paginaciones reconstruidas. Cotejar con el impreso si puedes</w:t>
            </w:r>
          </w:p>
        </w:tc>
      </w:tr>
      <w:tr>
        <w:trPr>
          <w:cantSplit/>
        </w:trPr>
        <w:tc>
          <w:tcPr>
            <w:tcW w:type="dxa" w:w="2470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Spedding (2025)</w:t>
            </w:r>
          </w:p>
        </w:tc>
        <w:tc>
          <w:tcPr>
            <w:tcW w:type="dxa" w:w="6935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Confirmar en el libro el año, el ISBN y las páginas de la sección (XIII-XXIII)</w:t>
            </w:r>
          </w:p>
        </w:tc>
      </w:tr>
      <w:tr>
        <w:trPr>
          <w:cantSplit/>
        </w:trPr>
        <w:tc>
          <w:tcPr>
            <w:tcW w:type="dxa" w:w="2470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Rodríguez y Rodríguez (2025)</w:t>
            </w:r>
          </w:p>
        </w:tc>
        <w:tc>
          <w:tcPr>
            <w:tcW w:type="dxa" w:w="6935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Confirmar la última página del capítulo (61)</w:t>
            </w:r>
          </w:p>
        </w:tc>
      </w:tr>
      <w:tr>
        <w:trPr>
          <w:cantSplit/>
        </w:trPr>
        <w:tc>
          <w:tcPr>
            <w:tcW w:type="dxa" w:w="2470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Cornejo Polar (2003 [1994]: 41, 180)</w:t>
            </w:r>
          </w:p>
        </w:tc>
        <w:tc>
          <w:tcPr>
            <w:tcW w:type="dxa" w:w="6935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Se cita la 2.ª edición (2003). Si prefieres la 1.ª (Horizonte, 1994), comprobar las páginas</w:t>
            </w:r>
          </w:p>
        </w:tc>
      </w:tr>
      <w:tr>
        <w:trPr>
          <w:cantSplit/>
        </w:trPr>
        <w:tc>
          <w:tcPr>
            <w:tcW w:type="dxa" w:w="2470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Bertonio (2011 [1612])</w:t>
            </w:r>
          </w:p>
        </w:tc>
        <w:tc>
          <w:tcPr>
            <w:tcW w:type="dxa" w:w="6935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Se cita la transcripción digital. Si un evaluador lo pide, cotejar con el facsímil de 1612</w:t>
            </w:r>
          </w:p>
        </w:tc>
      </w:tr>
    </w:tbl>
    <w:bookmarkEnd w:id="17"/>
    <w:bookmarkStart w:id="18" w:name="cotejar-father-electricity"/>
    <w:p>
      <w:pPr>
        <w:pStyle w:val="Heading3"/>
      </w:pPr>
      <w:r>
        <w:t xml:space="preserve">8. Cotejar «Father Electricity»</w:t>
      </w:r>
    </w:p>
    <w:p>
      <w:pPr>
        <w:pStyle w:val="FirstParagraph"/>
      </w:pPr>
      <w:r>
        <w:t xml:space="preserve">El pasaje de la sección 7 («I do not want to see the whole mess / I wish I could live in retrospect») sale de la letra que aportaste. Es de</w:t>
      </w:r>
      <w:r>
        <w:t xml:space="preserve"> </w:t>
      </w:r>
      <w:r>
        <w:rPr>
          <w:i/>
          <w:iCs/>
        </w:rPr>
        <w:t xml:space="preserve">Tyranny</w:t>
      </w:r>
      <w:r>
        <w:t xml:space="preserve"> </w:t>
      </w:r>
      <w:r>
        <w:t xml:space="preserve">(2014), y el librillo de</w:t>
      </w:r>
      <w:r>
        <w:t xml:space="preserve"> </w:t>
      </w:r>
      <w:r>
        <w:rPr>
          <w:i/>
          <w:iCs/>
        </w:rPr>
        <w:t xml:space="preserve">Virtue</w:t>
      </w:r>
      <w:r>
        <w:t xml:space="preserve"> </w:t>
      </w:r>
      <w:r>
        <w:t xml:space="preserve">no lo trae.</w:t>
      </w:r>
    </w:p>
    <w:p>
      <w:pPr>
        <w:pStyle w:val="Compact"/>
        <w:numPr>
          <w:ilvl w:val="0"/>
          <w:numId w:val="1015"/>
        </w:numPr>
      </w:pPr>
      <w:r>
        <w:t xml:space="preserve">Cotéjalo con la letra oficial: el librillo de</w:t>
      </w:r>
      <w:r>
        <w:t xml:space="preserve"> </w:t>
      </w:r>
      <w:r>
        <w:rPr>
          <w:i/>
          <w:iCs/>
        </w:rPr>
        <w:t xml:space="preserve">Tyranny</w:t>
      </w:r>
      <w:r>
        <w:t xml:space="preserve"> </w:t>
      </w:r>
      <w:r>
        <w:t xml:space="preserve">o un servicio de</w:t>
      </w:r>
      <w:r>
        <w:t xml:space="preserve"> </w:t>
      </w:r>
      <w:r>
        <w:rPr>
          <w:i/>
          <w:iCs/>
        </w:rPr>
        <w:t xml:space="preserve">streaming</w:t>
      </w:r>
      <w:r>
        <w:t xml:space="preserve"> </w:t>
      </w:r>
      <w:r>
        <w:t xml:space="preserve">con letras con licencia.</w:t>
      </w:r>
    </w:p>
    <w:p>
      <w:pPr>
        <w:pStyle w:val="Compact"/>
        <w:numPr>
          <w:ilvl w:val="0"/>
          <w:numId w:val="1015"/>
        </w:numPr>
      </w:pPr>
      <w:r>
        <w:t xml:space="preserve">Si cambia algo (palabras, corte de verso, mayúsculas), dale al artículo la forma de esa fuente y di de dónde sale en la bibliografía, como ya se hizo con</w:t>
      </w:r>
      <w:r>
        <w:t xml:space="preserve"> </w:t>
      </w:r>
      <w:r>
        <w:rPr>
          <w:i/>
          <w:iCs/>
        </w:rPr>
        <w:t xml:space="preserve">Virtue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Mientras tanto, si la revista pregunta, la cita es de la grabación y la transcripción es tuya.</w:t>
      </w:r>
    </w:p>
    <w:bookmarkEnd w:id="18"/>
    <w:bookmarkStart w:id="19" w:name="elegir-la-revista"/>
    <w:p>
      <w:pPr>
        <w:pStyle w:val="Heading3"/>
      </w:pPr>
      <w:r>
        <w:t xml:space="preserve">9. Elegir la revista</w:t>
      </w:r>
    </w:p>
    <w:p>
      <w:pPr>
        <w:pStyle w:val="FirstParagraph"/>
      </w:pPr>
      <w:r>
        <w:t xml:space="preserve">Usa</w:t>
      </w:r>
      <w:r>
        <w:t xml:space="preserve"> </w:t>
      </w:r>
      <w:r>
        <w:rPr>
          <w:rStyle w:val="VerbatimChar"/>
        </w:rPr>
        <w:t xml:space="preserve">05_revistas_candidatas</w:t>
      </w:r>
      <w:r>
        <w:t xml:space="preserve">. Antes de decidir, abre la página oficial de cada revista y confirma la recepción, la extensión, el trato de las figuras, los cobros y la política de IA. Esos datos salen de extractos del buscador, no de una lectura directa.</w:t>
      </w:r>
    </w:p>
    <w:bookmarkEnd w:id="19"/>
    <w:bookmarkStart w:id="20" w:name="adaptar-el-texto-a-la-revista"/>
    <w:p>
      <w:pPr>
        <w:pStyle w:val="Heading3"/>
      </w:pPr>
      <w:r>
        <w:t xml:space="preserve">10. Adaptar el texto a la revista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Formato y citas.</w:t>
      </w:r>
      <w:r>
        <w:t xml:space="preserve"> </w:t>
      </w:r>
      <w:r>
        <w:t xml:space="preserve">El Word sigue hoy la plantilla de</w:t>
      </w:r>
      <w:r>
        <w:t xml:space="preserve"> </w:t>
      </w:r>
      <w:r>
        <w:rPr>
          <w:i/>
          <w:iCs/>
        </w:rPr>
        <w:t xml:space="preserve">Estudios Bolivianos</w:t>
      </w:r>
      <w:r>
        <w:t xml:space="preserve">. Según la revista, hará falta APA 7, MLA o Chicago.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Extensión.</w:t>
      </w:r>
      <w:r>
        <w:t xml:space="preserve"> </w:t>
      </w:r>
      <w:r>
        <w:t xml:space="preserve">Para</w:t>
      </w:r>
      <w:r>
        <w:t xml:space="preserve"> </w:t>
      </w:r>
      <w:r>
        <w:rPr>
          <w:i/>
          <w:iCs/>
        </w:rPr>
        <w:t xml:space="preserve">Atenea</w:t>
      </w:r>
      <w:r>
        <w:t xml:space="preserve"> </w:t>
      </w:r>
      <w:r>
        <w:t xml:space="preserve">(8.500 palabras con resumen y referencias) hay que quitar unas 2.450.</w:t>
      </w:r>
    </w:p>
    <w:p>
      <w:pPr>
        <w:pStyle w:val="Compact"/>
        <w:numPr>
          <w:ilvl w:val="1"/>
          <w:numId w:val="1017"/>
        </w:numPr>
      </w:pPr>
      <w:r>
        <w:t xml:space="preserve">La palanca principal son los pies de figura analíticos y el Cuadro 1, unas 1.850 palabras: acórtalos o pasa parte de su análisis al texto.</w:t>
      </w:r>
    </w:p>
    <w:p>
      <w:pPr>
        <w:pStyle w:val="Compact"/>
        <w:numPr>
          <w:ilvl w:val="1"/>
          <w:numId w:val="1017"/>
        </w:numPr>
      </w:pPr>
      <w:r>
        <w:t xml:space="preserve">Las cinco imágenes, con sus frases, sus pies y la nota, suman unas 680 palabras. Si hay que elegir, las que más sostienen el argumento son el escribano (Imagen 1) y la Puerta del Sol (Imagen 2).</w:t>
      </w:r>
    </w:p>
    <w:p>
      <w:pPr>
        <w:pStyle w:val="Compact"/>
        <w:numPr>
          <w:ilvl w:val="1"/>
          <w:numId w:val="1017"/>
        </w:numPr>
      </w:pPr>
      <w:r>
        <w:t xml:space="preserve">Después vienen los cruces más alejados de la novela (Alexander en la sección 3, la casa difusa de la sección 5, las canciones) y los pasajes de trama que no llevan cita.</w:t>
      </w:r>
    </w:p>
    <w:p>
      <w:pPr>
        <w:pStyle w:val="Compact"/>
        <w:numPr>
          <w:ilvl w:val="1"/>
          <w:numId w:val="1017"/>
        </w:numPr>
      </w:pPr>
      <w:r>
        <w:t xml:space="preserve">El marco teórico y la bibliografía deben quedar completos. Si una obra deja de citarse, sácala de la bibliografía.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La frase «Se trata de una investigación en desarrollo»</w:t>
      </w:r>
      <w:r>
        <w:t xml:space="preserve"> </w:t>
      </w:r>
      <w:r>
        <w:t xml:space="preserve">(final de la sección 1) respondía a una norma de</w:t>
      </w:r>
      <w:r>
        <w:t xml:space="preserve"> </w:t>
      </w:r>
      <w:r>
        <w:rPr>
          <w:i/>
          <w:iCs/>
        </w:rPr>
        <w:t xml:space="preserve">Estudios Bolivianos</w:t>
      </w:r>
      <w:r>
        <w:t xml:space="preserve">. Decide si la mantienes.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Las figuras, aparte.</w:t>
      </w:r>
      <w:r>
        <w:t xml:space="preserve"> </w:t>
      </w:r>
      <w:r>
        <w:rPr>
          <w:i/>
          <w:iCs/>
        </w:rPr>
        <w:t xml:space="preserve">Atenea</w:t>
      </w:r>
      <w:r>
        <w:t xml:space="preserve"> </w:t>
      </w:r>
      <w:r>
        <w:t xml:space="preserve">las pide en JPG o TIF, a 300 ppp o más y con 12 cm de ancho como mínimo, con su pie y su fuente. Lo mismo vale para las imágenes: las de Guaman Poma necesitan la alta resolución del paso 5.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Filiación.</w:t>
      </w:r>
      <w:r>
        <w:t xml:space="preserve"> </w:t>
      </w:r>
      <w:r>
        <w:t xml:space="preserve">No tienes una institucional. La salida habitual es «Investigador independiente, La Paz (Bolivia)». Si la revista pide filiación, pregúntale si la acepta.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ORCID.</w:t>
      </w:r>
      <w:r>
        <w:t xml:space="preserve"> </w:t>
      </w:r>
      <w:r>
        <w:t xml:space="preserve">Créalo antes del primer envío: es gratis y muchas plataformas lo exigen.</w:t>
      </w:r>
    </w:p>
    <w:bookmarkEnd w:id="20"/>
    <w:bookmarkStart w:id="21" w:name="preparar-la-versión-anónima-si-la-piden"/>
    <w:p>
      <w:pPr>
        <w:pStyle w:val="Heading3"/>
      </w:pPr>
      <w:r>
        <w:t xml:space="preserve">11. Preparar la versión anónima, si la piden</w:t>
      </w:r>
    </w:p>
    <w:p>
      <w:pPr>
        <w:pStyle w:val="FirstParagraph"/>
      </w:pPr>
      <w:r>
        <w:t xml:space="preserve">Para el arbitraje a doble ciego:</w:t>
      </w:r>
    </w:p>
    <w:p>
      <w:pPr>
        <w:pStyle w:val="Compact"/>
        <w:numPr>
          <w:ilvl w:val="0"/>
          <w:numId w:val="1018"/>
        </w:numPr>
      </w:pPr>
      <w:r>
        <w:t xml:space="preserve">quita tu nombre y la nota 1;</w:t>
      </w:r>
    </w:p>
    <w:p>
      <w:pPr>
        <w:pStyle w:val="Compact"/>
        <w:numPr>
          <w:ilvl w:val="0"/>
          <w:numId w:val="1018"/>
        </w:numPr>
      </w:pPr>
      <w:r>
        <w:t xml:space="preserve">deja «El autor» en las declaraciones, porque no identifica a nadie;</w:t>
      </w:r>
    </w:p>
    <w:p>
      <w:pPr>
        <w:pStyle w:val="Compact"/>
        <w:numPr>
          <w:ilvl w:val="0"/>
          <w:numId w:val="1018"/>
        </w:numPr>
      </w:pPr>
      <w:r>
        <w:t xml:space="preserve">borra tu nombre de las propiedades del archivo (en Word: Archivo → Información → Inspeccionar documento).</w:t>
      </w:r>
    </w:p>
    <w:bookmarkEnd w:id="21"/>
    <w:bookmarkStart w:id="22" w:name="enviar"/>
    <w:p>
      <w:pPr>
        <w:pStyle w:val="Heading3"/>
      </w:pPr>
      <w:r>
        <w:t xml:space="preserve">12. Enviar</w:t>
      </w:r>
    </w:p>
    <w:p>
      <w:pPr>
        <w:pStyle w:val="FirstParagraph"/>
      </w:pPr>
      <w:r>
        <w:t xml:space="preserve">Envía a una sola revista por vez: casi todas lo exigen. Anota la fecha de envío para reclamar respuesta según el plazo que declare la revista.</w:t>
      </w:r>
    </w:p>
    <w:bookmarkEnd w:id="22"/>
    <w:bookmarkEnd w:id="23"/>
    <w:bookmarkStart w:id="24" w:name="datos-de-autoría"/>
    <w:p>
      <w:pPr>
        <w:pStyle w:val="Heading2"/>
      </w:pPr>
      <w:r>
        <w:t xml:space="preserve">Datos de autoría</w:t>
      </w:r>
    </w:p>
    <w:tbl>
      <w:tblPr>
        <w:tblStyle w:val="Table"/>
        <w:tblW w:type="dxa" w:w="9405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2056"/>
        <w:gridCol w:w="7350"/>
      </w:tblGrid>
      <w:tr>
        <w:trPr>
          <w:cantSplit/>
          <w:tblHeader/>
        </w:trPr>
        <w:tc>
          <w:tcPr>
            <w:tcW w:type="dxa" w:w="2056"/>
            <w:shd w:val="clear" w:color="auto" w:fill="EDEDED"/>
          </w:tcPr>
          <w:p>
            <w:pPr>
              <w:pStyle w:val="Compact"/>
              <w:spacing w:line="240" w:lineRule="auto" w:after="20" w:before="20"/>
            </w:pPr>
            <w:r>
              <w:rPr>
                <w:b/>
                <w:sz w:val="19"/>
              </w:rPr>
              <w:t xml:space="preserve">Dónde</w:t>
            </w:r>
          </w:p>
        </w:tc>
        <w:tc>
          <w:tcPr>
            <w:tcW w:type="dxa" w:w="7350"/>
            <w:shd w:val="clear" w:color="auto" w:fill="EDEDED"/>
          </w:tcPr>
          <w:p>
            <w:pPr>
              <w:pStyle w:val="Compact"/>
              <w:spacing w:line="240" w:lineRule="auto" w:after="20" w:before="20"/>
            </w:pPr>
            <w:r>
              <w:rPr>
                <w:b/>
                <w:sz w:val="19"/>
              </w:rPr>
              <w:t xml:space="preserve">Qué dice</w:t>
            </w:r>
          </w:p>
        </w:tc>
      </w:tr>
      <w:tr>
        <w:trPr>
          <w:cantSplit/>
        </w:trPr>
        <w:tc>
          <w:tcPr>
            <w:tcW w:type="dxa" w:w="2056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Línea de autoría</w:t>
            </w:r>
          </w:p>
        </w:tc>
        <w:tc>
          <w:tcPr>
            <w:tcW w:type="dxa" w:w="7350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Joaquin Max Cuevas Ventura</w:t>
            </w:r>
          </w:p>
        </w:tc>
      </w:tr>
      <w:tr>
        <w:trPr>
          <w:cantSplit/>
        </w:trPr>
        <w:tc>
          <w:tcPr>
            <w:tcW w:type="dxa" w:w="2056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Nota 1 (80 palabras)</w:t>
            </w:r>
          </w:p>
        </w:tc>
        <w:tc>
          <w:tcPr>
            <w:tcW w:type="dxa" w:w="7350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Licenciatura en Arquitectura (UMSA); técnico superior en Diseño Gráfico (Instituto Técnico Atenea); estudios de posgrado en Gestión BIM (Universidad Católica Boliviana); coordinación de Arquicinema (FAADU-UMSA); ocupación actual; áreas de trabajo; correo electrónico; La Paz, Bolivia</w:t>
            </w:r>
          </w:p>
        </w:tc>
      </w:tr>
      <w:tr>
        <w:trPr>
          <w:cantSplit/>
        </w:trPr>
        <w:tc>
          <w:tcPr>
            <w:tcW w:type="dxa" w:w="2056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Final de la sección 1</w:t>
            </w:r>
          </w:p>
        </w:tc>
        <w:tc>
          <w:tcPr>
            <w:tcW w:type="dxa" w:w="7350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«Se trata de una investigación en desarrollo»</w:t>
            </w:r>
          </w:p>
        </w:tc>
      </w:tr>
      <w:tr>
        <w:trPr>
          <w:cantSplit/>
        </w:trPr>
        <w:tc>
          <w:tcPr>
            <w:tcW w:type="dxa" w:w="2056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Conflicto de intereses</w:t>
            </w:r>
          </w:p>
        </w:tc>
        <w:tc>
          <w:tcPr>
            <w:tcW w:type="dxa" w:w="7350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«El autor declara no tener conflictos de intereses»</w:t>
            </w:r>
          </w:p>
        </w:tc>
      </w:tr>
    </w:tbl>
    <w:p>
      <w:pPr>
        <w:pStyle w:val="BodyText"/>
      </w:pPr>
      <w:r>
        <w:t xml:space="preserve">La nota no trae adscripción institucional ni publicaciones. Si tienes alguna, cabe.</w:t>
      </w:r>
      <w:r>
        <w:t xml:space="preserve"> </w:t>
      </w:r>
      <w:r>
        <w:rPr>
          <w:i/>
          <w:iCs/>
        </w:rPr>
        <w:t xml:space="preserve">Kipus</w:t>
      </w:r>
      <w:r>
        <w:t xml:space="preserve"> </w:t>
      </w:r>
      <w:r>
        <w:t xml:space="preserve">pide, además, una nota biobibliográfica de 100 a 150 palabras.</w:t>
      </w:r>
    </w:p>
    <w:bookmarkEnd w:id="24"/>
    <w:bookmarkStart w:id="25" w:name="mejoras-opcionales"/>
    <w:p>
      <w:pPr>
        <w:pStyle w:val="Heading2"/>
      </w:pPr>
      <w:r>
        <w:t xml:space="preserve">Mejoras opcionales</w:t>
      </w:r>
    </w:p>
    <w:p>
      <w:pPr>
        <w:pStyle w:val="FirstParagraph"/>
      </w:pPr>
      <w:r>
        <w:t xml:space="preserve">No hacen falta para enviar. Cada una tiene su fuente: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El concurso de 1940 (sección 1).</w:t>
      </w:r>
      <w:r>
        <w:t xml:space="preserve"> </w:t>
      </w:r>
      <w:r>
        <w:t xml:space="preserve">La nota «Al lector» de la edición citada dice que la novela se escribió «entre junio y agosto de 1940» para el Concurso de Novelas Latinoamericanas de la Unión Panamericana; que el jurado boliviano no la mencionó y envió la novela de Augusto Céspedes,</w:t>
      </w:r>
      <w:r>
        <w:t xml:space="preserve"> </w:t>
      </w:r>
      <w:r>
        <w:rPr>
          <w:i/>
          <w:iCs/>
        </w:rPr>
        <w:t xml:space="preserve">Metal del diablo</w:t>
      </w:r>
      <w:r>
        <w:t xml:space="preserve">; y que ganó</w:t>
      </w:r>
      <w:r>
        <w:t xml:space="preserve"> </w:t>
      </w:r>
      <w:r>
        <w:rPr>
          <w:i/>
          <w:iCs/>
        </w:rPr>
        <w:t xml:space="preserve">El mundo es ancho y ajeno</w:t>
      </w:r>
      <w:r>
        <w:t xml:space="preserve">, de Ciro Alegría, «cuyo argumento tiene un sorprendente parecido al de “Altiplano”» (Botelho Gosálvez, 1982 [1945]: 4). Una frase situaría la novela en su tiempo.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Crítica previa por leer.</w:t>
      </w:r>
      <w:r>
        <w:t xml:space="preserve"> </w:t>
      </w:r>
      <w:r>
        <w:t xml:space="preserve">La tesis de Jacqueline M. O’Sullivan sobre Botelho Gosálvez (Universidad de Texas en El Paso, 1951), el estudio de Rodolfo A. Borello sobre</w:t>
      </w:r>
      <w:r>
        <w:t xml:space="preserve"> </w:t>
      </w:r>
      <w:r>
        <w:rPr>
          <w:i/>
          <w:iCs/>
        </w:rPr>
        <w:t xml:space="preserve">Raza de bronce</w:t>
      </w:r>
      <w:r>
        <w:t xml:space="preserve"> </w:t>
      </w:r>
      <w:r>
        <w:t xml:space="preserve">(1985) y Arriarán (2021: 29-31). Solo entran si los lees.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Las fechas del autor.</w:t>
      </w:r>
      <w:r>
        <w:t xml:space="preserve"> </w:t>
      </w:r>
      <w:r>
        <w:t xml:space="preserve">Si la revista las pide: Raúl Botelho Gosálvez (La Paz, 1917-2004), según la ficha de autoridad de la Biblioteca Nacional de Francia.</w:t>
      </w:r>
    </w:p>
    <w:bookmarkEnd w:id="25"/>
    <w:bookmarkStart w:id="26" w:name="lista-final-para-marcar"/>
    <w:p>
      <w:pPr>
        <w:pStyle w:val="Heading2"/>
      </w:pPr>
      <w:r>
        <w:t xml:space="preserve">Lista final para marcar</w:t>
      </w:r>
    </w:p>
    <w:p>
      <w:pPr>
        <w:pStyle w:val="Compact"/>
        <w:numPr>
          <w:ilvl w:val="0"/>
          <w:numId w:val="1020"/>
        </w:numPr>
      </w:pPr>
      <w:r>
        <w:t xml:space="preserve">Artículo leído en voz alta y hecho propio</w:t>
      </w:r>
    </w:p>
    <w:p>
      <w:pPr>
        <w:pStyle w:val="Compact"/>
        <w:numPr>
          <w:ilvl w:val="0"/>
          <w:numId w:val="1021"/>
        </w:numPr>
      </w:pPr>
      <w:r>
        <w:t xml:space="preserve">Epígrafe confirmado o cambiado</w:t>
      </w:r>
    </w:p>
    <w:p>
      <w:pPr>
        <w:pStyle w:val="Compact"/>
        <w:numPr>
          <w:ilvl w:val="0"/>
          <w:numId w:val="1022"/>
        </w:numPr>
      </w:pPr>
      <w:r>
        <w:t xml:space="preserve">Declaración de IA revisada</w:t>
      </w:r>
    </w:p>
    <w:p>
      <w:pPr>
        <w:pStyle w:val="Compact"/>
        <w:numPr>
          <w:ilvl w:val="0"/>
          <w:numId w:val="1023"/>
        </w:numPr>
      </w:pPr>
      <w:r>
        <w:t xml:space="preserve">Pasteles hechos y escaneados; figuras, pies, plano (3) y declaración ajustados</w:t>
      </w:r>
    </w:p>
    <w:p>
      <w:pPr>
        <w:pStyle w:val="Compact"/>
        <w:numPr>
          <w:ilvl w:val="0"/>
          <w:numId w:val="1024"/>
        </w:numPr>
      </w:pPr>
      <w:r>
        <w:t xml:space="preserve">Notaciones de las figuras 1 a 6 y diagramas 7 y 8 revisados</w:t>
      </w:r>
    </w:p>
    <w:p>
      <w:pPr>
        <w:pStyle w:val="Compact"/>
        <w:numPr>
          <w:ilvl w:val="0"/>
          <w:numId w:val="1025"/>
        </w:numPr>
      </w:pPr>
      <w:r>
        <w:t xml:space="preserve">Imágenes de Guaman Poma pedidas en alta resolución; numeración de las imágenes decidida</w:t>
      </w:r>
    </w:p>
    <w:p>
      <w:pPr>
        <w:pStyle w:val="Compact"/>
        <w:numPr>
          <w:ilvl w:val="0"/>
          <w:numId w:val="1026"/>
        </w:numPr>
      </w:pPr>
      <w:r>
        <w:t xml:space="preserve">Citas de la novela cotejadas con el impreso</w:t>
      </w:r>
    </w:p>
    <w:p>
      <w:pPr>
        <w:pStyle w:val="Compact"/>
        <w:numPr>
          <w:ilvl w:val="0"/>
          <w:numId w:val="1027"/>
        </w:numPr>
      </w:pPr>
      <w:r>
        <w:t xml:space="preserve">Datos por confirmar revisados</w:t>
      </w:r>
    </w:p>
    <w:p>
      <w:pPr>
        <w:pStyle w:val="Compact"/>
        <w:numPr>
          <w:ilvl w:val="0"/>
          <w:numId w:val="1028"/>
        </w:numPr>
      </w:pPr>
      <w:r>
        <w:t xml:space="preserve">«Father Electricity» cotejado con la letra oficial</w:t>
      </w:r>
    </w:p>
    <w:p>
      <w:pPr>
        <w:pStyle w:val="Compact"/>
        <w:numPr>
          <w:ilvl w:val="0"/>
          <w:numId w:val="1029"/>
        </w:numPr>
      </w:pPr>
      <w:r>
        <w:t xml:space="preserve">Revista elegida y sus normas leídas en su web</w:t>
      </w:r>
    </w:p>
    <w:p>
      <w:pPr>
        <w:pStyle w:val="Compact"/>
        <w:numPr>
          <w:ilvl w:val="0"/>
          <w:numId w:val="1030"/>
        </w:numPr>
      </w:pPr>
      <w:r>
        <w:t xml:space="preserve">Texto adaptado: formato, citas, extensión y figuras aparte</w:t>
      </w:r>
    </w:p>
    <w:p>
      <w:pPr>
        <w:pStyle w:val="Compact"/>
        <w:numPr>
          <w:ilvl w:val="0"/>
          <w:numId w:val="1031"/>
        </w:numPr>
      </w:pPr>
      <w:r>
        <w:t xml:space="preserve">ORCID creado y filiación decidida</w:t>
      </w:r>
    </w:p>
    <w:p>
      <w:pPr>
        <w:pStyle w:val="Compact"/>
        <w:numPr>
          <w:ilvl w:val="0"/>
          <w:numId w:val="1032"/>
        </w:numPr>
      </w:pPr>
      <w:r>
        <w:t xml:space="preserve">Versión anónima, si la piden</w:t>
      </w:r>
    </w:p>
    <w:p>
      <w:pPr>
        <w:pStyle w:val="Compact"/>
        <w:numPr>
          <w:ilvl w:val="0"/>
          <w:numId w:val="1033"/>
        </w:numPr>
      </w:pPr>
      <w:r>
        <w:t xml:space="preserve">Envío, a una sola revista</w:t>
      </w:r>
    </w:p>
    <w:bookmarkEnd w:id="26"/>
    <w:bookmarkEnd w:id="27"/>
    <w:sectPr>
      <w:footerReference w:type="default" r:id="rId9"/>
      <w:footnotePr>
        <w:numRestart w:val="eachSect"/>
      </w:footnotePr>
      <w:pgSz w:w="12240" w:h="15840"/>
      <w:pgMar w:left="1417" w:right="1417" w:top="1417" w:bottom="1417" w:header="709" w:footer="709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3"/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BO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76" w:lineRule="auto"/>
    </w:pPr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20" w:before="0" w:line="276" w:lineRule="auto"/>
    </w:pPr>
    <w:rPr>
      <w:rFonts w:ascii="Times New Roman" w:cs="Times New Roman" w:eastAsia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276" w:lineRule="auto"/>
    </w:pPr>
    <w:rPr>
      <w:rFonts w:ascii="Times New Roman" w:cs="Times New Roman" w:eastAsia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40" w:before="0" w:line="276" w:lineRule="auto"/>
    </w:pPr>
    <w:rPr>
      <w:rFonts w:ascii="Times New Roman" w:cs="Times New Roman" w:eastAsia="Times New Roman" w:hAnsi="Times New Roman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120" w:before="0" w:line="240" w:lineRule="auto"/>
      <w:contextualSpacing/>
      <w:jc w:val="center"/>
    </w:pPr>
    <w:rPr>
      <w:rFonts w:ascii="Times New Roman" w:cs="Times New Roman" w:eastAsia="Times New Roman" w:hAnsi="Times New Roman"/>
      <w:b/>
      <w:i w:val="0"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0" w:line="240" w:lineRule="auto"/>
      <w:outlineLvl w:val="0"/>
    </w:pPr>
    <w:rPr>
      <w:rFonts w:ascii="Times New Roman" w:cs="Times New Roman" w:eastAsia="Times New Roman" w:hAnsi="Times New Roman"/>
      <w:b/>
      <w:i w:val="0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80" w:line="240" w:lineRule="auto"/>
      <w:outlineLvl w:val="1"/>
    </w:pPr>
    <w:rPr>
      <w:rFonts w:ascii="Times New Roman" w:cs="Times New Roman" w:eastAsia="Times New Roman" w:hAnsi="Times New Roman"/>
      <w:b/>
      <w:i w:val="0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00" w:line="240" w:lineRule="auto"/>
      <w:outlineLvl w:val="2"/>
    </w:pPr>
    <w:rPr>
      <w:rFonts w:ascii="Times New Roman" w:cs="Times New Roman" w:eastAsia="Times New Roman" w:hAnsi="Times New Roman"/>
      <w:b/>
      <w:i w:val="0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160" w:line="240" w:lineRule="auto"/>
      <w:outlineLvl w:val="3"/>
    </w:pPr>
    <w:rPr>
      <w:rFonts w:ascii="Times New Roman" w:cs="Times New Roman" w:eastAsia="Times New Roman" w:hAnsi="Times New Roman"/>
      <w:b/>
      <w:i w:val="0"/>
      <w:iCs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80" w:line="264" w:lineRule="auto"/>
      <w:ind w:firstLine="0" w:left="567" w:right="283"/>
    </w:pPr>
    <w:rPr>
      <w:rFonts w:ascii="Times New Roman" w:cs="Times New Roman" w:eastAsia="Times New Roman" w:hAnsi="Times New Roman"/>
      <w:i w:val="0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pPr>
      <w:spacing w:after="120" w:before="0" w:line="276" w:lineRule="auto"/>
    </w:pPr>
    <w:rPr>
      <w:rFonts w:ascii="Times New Roman" w:cs="Times New Roman" w:eastAsia="Times New Roman" w:hAnsi="Times New Roman"/>
      <w:sz w:val="22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120" w:before="0" w:line="276" w:lineRule="auto"/>
    </w:pPr>
    <w:rPr>
      <w:rFonts w:ascii="Times New Roman" w:cs="Times New Roman" w:eastAsia="Times New Roman" w:hAnsi="Times New Roman"/>
      <w:b/>
      <w:sz w:val="22"/>
    </w:rPr>
  </w:style>
  <w:style w:customStyle="1" w:styleId="Definition" w:type="paragraph">
    <w:name w:val="Definition"/>
    <w:basedOn w:val="Normal"/>
    <w:pPr>
      <w:spacing w:after="120" w:before="0" w:line="276" w:lineRule="auto"/>
    </w:pPr>
    <w:rPr>
      <w:rFonts w:ascii="Times New Roman" w:cs="Times New Roman" w:eastAsia="Times New Roman" w:hAnsi="Times New Roman"/>
      <w:sz w:val="22"/>
    </w:rPr>
  </w:style>
  <w:style w:styleId="Caption" w:type="paragraph">
    <w:name w:val="Caption"/>
    <w:basedOn w:val="Normal"/>
    <w:link w:val="BodyTextChar"/>
    <w:pPr>
      <w:spacing w:after="200" w:before="40" w:line="240" w:lineRule="auto"/>
      <w:jc w:val="center"/>
    </w:pPr>
    <w:rPr>
      <w:rFonts w:ascii="Times New Roman" w:cs="Times New Roman" w:eastAsia="Times New Roman" w:hAnsi="Times New Roman"/>
      <w:i/>
      <w:sz w:val="19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pPr>
      <w:spacing w:after="200" w:before="40" w:line="240" w:lineRule="auto"/>
      <w:jc w:val="center"/>
    </w:pPr>
    <w:rPr>
      <w:rFonts w:ascii="Times New Roman" w:cs="Times New Roman" w:eastAsia="Times New Roman" w:hAnsi="Times New Roman"/>
      <w:i/>
      <w:sz w:val="19"/>
    </w:rPr>
  </w:style>
  <w:style w:customStyle="1" w:styleId="Figure" w:type="paragraph">
    <w:name w:val="Figure"/>
    <w:basedOn w:val="Normal"/>
    <w:pPr>
      <w:keepNext/>
      <w:jc w:val="center"/>
    </w:pPr>
  </w:style>
  <w:style w:customStyle="1" w:styleId="CaptionedFigure" w:type="paragraph">
    <w:name w:val="Captioned Figure"/>
    <w:basedOn w:val="Figure"/>
    <w:pPr>
      <w:keepNext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envio</dc:title>
  <dc:creator>Joaquin Max Cuevas Ventura</dc:creator>
  <dc:language>es-BO</dc:language>
  <cp:keywords/>
  <dcterms:created xsi:type="dcterms:W3CDTF">2026-10-18T22:34:49Z</dcterms:created>
  <dcterms:modified xsi:type="dcterms:W3CDTF">2026-10-18T22:34:49Z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