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revistas-candidatas"/>
    <w:p>
      <w:pPr>
        <w:pStyle w:val="Heading1"/>
      </w:pPr>
      <w:r>
        <w:t xml:space="preserve">Revistas candidatas</w:t>
      </w:r>
    </w:p>
    <w:p>
      <w:pPr>
        <w:pStyle w:val="FirstParagraph"/>
      </w:pPr>
      <w:r>
        <w:t xml:space="preserve">Adónde enviar «Cosecha de piedras: el ayllu, el Estado y la mina. Dibujando</w:t>
      </w:r>
      <w:r>
        <w:t xml:space="preserve"> </w:t>
      </w:r>
      <w:r>
        <w:rPr>
          <w:i/>
          <w:iCs/>
        </w:rPr>
        <w:t xml:space="preserve">Altiplano</w:t>
      </w:r>
      <w:r>
        <w:t xml:space="preserve"> </w:t>
      </w:r>
      <w:r>
        <w:t xml:space="preserve">de Raúl Botelho Gosálvez». Versión final, 11 de octubre de 2026. Las cifras de extensión se pusieron al día el 18 de octubre, cuando entraron cinco imágenes de dominio público.</w:t>
      </w:r>
    </w:p>
    <w:p>
      <w:pPr>
        <w:pStyle w:val="BlockText"/>
      </w:pPr>
      <w:r>
        <w:rPr>
          <w:b/>
          <w:bCs/>
        </w:rPr>
        <w:t xml:space="preserve">Antes de usar cualquier dato, confírmalo en la web de la revista.</w:t>
      </w:r>
      <w:r>
        <w:t xml:space="preserve"> </w:t>
      </w:r>
      <w:r>
        <w:t xml:space="preserve">Desde el entorno de trabajo no se pudo abrir ningún sitio oficial de revista: todo sale de los extractos que dio un buscador de las páginas oficiales enlazadas, no de una lectura directa. Esos extractos a veces mezclan años o números. «Sin confirmar» significa que ningún extracto mostró el dato, no que el dato no exista. Las valoraciones de encaje son juicios propios. Antes de enviar, abre la página de la revista y confirma la recepción, la extensión, las normas de figuras, los cobros, la política de IA y los requisitos de autoría.</w:t>
      </w:r>
    </w:p>
    <w:bookmarkStart w:id="9" w:name="la-recomendación"/>
    <w:p>
      <w:pPr>
        <w:pStyle w:val="Heading2"/>
      </w:pPr>
      <w:r>
        <w:t xml:space="preserve">La recomendación</w:t>
      </w:r>
    </w:p>
    <w:p>
      <w:pPr>
        <w:pStyle w:val="Compact"/>
        <w:numPr>
          <w:ilvl w:val="0"/>
          <w:numId w:val="1001"/>
        </w:numPr>
      </w:pPr>
      <w:r>
        <w:rPr>
          <w:b/>
          <w:bCs/>
        </w:rPr>
        <w:t xml:space="preserve">Primera opción:</w:t>
      </w:r>
      <w:r>
        <w:rPr>
          <w:b/>
          <w:bCs/>
        </w:rPr>
        <w:t xml:space="preserve"> </w:t>
      </w:r>
      <w:r>
        <w:rPr>
          <w:b/>
          <w:bCs/>
          <w:i/>
          <w:iCs/>
        </w:rPr>
        <w:t xml:space="preserve">Atenea</w:t>
      </w:r>
      <w:r>
        <w:t xml:space="preserve"> </w:t>
      </w:r>
      <w:r>
        <w:t xml:space="preserve">(Universidad de Concepción, Chile). Es la única revista localizada cuyo ámbito junta arquitectura, estudios literarios y artes visuales, y pide expresamente imágenes y dibujos «de valor documental y artístico». Recibe todo el año. Su tope de 8.500 palabras, con resumen y referencias, obliga a quitar unas 2.450 palabras, sobre todo de los pies de figura.</w:t>
      </w:r>
    </w:p>
    <w:p>
      <w:pPr>
        <w:pStyle w:val="Compact"/>
        <w:numPr>
          <w:ilvl w:val="0"/>
          <w:numId w:val="1001"/>
        </w:numPr>
      </w:pPr>
      <w:r>
        <w:rPr>
          <w:b/>
          <w:bCs/>
        </w:rPr>
        <w:t xml:space="preserve">Si no quieres recortar:</w:t>
      </w:r>
      <w:r>
        <w:rPr>
          <w:b/>
          <w:bCs/>
        </w:rPr>
        <w:t xml:space="preserve"> </w:t>
      </w:r>
      <w:r>
        <w:rPr>
          <w:b/>
          <w:bCs/>
          <w:i/>
          <w:iCs/>
        </w:rPr>
        <w:t xml:space="preserve">Aisthesis</w:t>
      </w:r>
      <w:r>
        <w:t xml:space="preserve"> </w:t>
      </w:r>
      <w:r>
        <w:t xml:space="preserve">(Pontificia Universidad Católica de Chile). Admite hasta 12.000 palabras, así que el texto cabe entero. Su evaluación tarda de 12 a 15 meses.</w:t>
      </w:r>
    </w:p>
    <w:p>
      <w:pPr>
        <w:pStyle w:val="Compact"/>
        <w:numPr>
          <w:ilvl w:val="0"/>
          <w:numId w:val="1001"/>
        </w:numPr>
      </w:pPr>
      <w:r>
        <w:rPr>
          <w:b/>
          <w:bCs/>
        </w:rPr>
        <w:t xml:space="preserve">Las otras opciones fuertes:</w:t>
      </w:r>
    </w:p>
    <w:p>
      <w:pPr>
        <w:pStyle w:val="Compact"/>
        <w:numPr>
          <w:ilvl w:val="1"/>
          <w:numId w:val="1002"/>
        </w:numPr>
      </w:pPr>
      <w:r>
        <w:t xml:space="preserve">la</w:t>
      </w:r>
      <w:r>
        <w:t xml:space="preserve"> </w:t>
      </w:r>
      <w:r>
        <w:rPr>
          <w:i/>
          <w:iCs/>
        </w:rPr>
        <w:t xml:space="preserve">Revista de Crítica Literaria Latinoamericana</w:t>
      </w:r>
      <w:r>
        <w:t xml:space="preserve">, que fundó Antonio Cornejo Polar, de cuya crítica parte el artículo. Puede pasar al primer lugar si confirma que admite ocho figuras y cinco imágenes y que la miscelánea del n.º 105 sigue abierta;</w:t>
      </w:r>
    </w:p>
    <w:p>
      <w:pPr>
        <w:pStyle w:val="Compact"/>
        <w:numPr>
          <w:ilvl w:val="1"/>
          <w:numId w:val="1002"/>
        </w:numPr>
      </w:pPr>
      <w:r>
        <w:rPr>
          <w:i/>
          <w:iCs/>
        </w:rPr>
        <w:t xml:space="preserve">Literatura y Lingüística</w:t>
      </w:r>
      <w:r>
        <w:t xml:space="preserve">, si lo que más pesa es estar en Scopus con un dictamen rápido;</w:t>
      </w:r>
    </w:p>
    <w:p>
      <w:pPr>
        <w:pStyle w:val="Compact"/>
        <w:numPr>
          <w:ilvl w:val="1"/>
          <w:numId w:val="1002"/>
        </w:numPr>
      </w:pPr>
      <w:r>
        <w:t xml:space="preserve">el</w:t>
      </w:r>
      <w:r>
        <w:t xml:space="preserve"> </w:t>
      </w:r>
      <w:r>
        <w:rPr>
          <w:i/>
          <w:iCs/>
        </w:rPr>
        <w:t xml:space="preserve">Bolivian Studies Journal</w:t>
      </w:r>
      <w:r>
        <w:t xml:space="preserve"> </w:t>
      </w:r>
      <w:r>
        <w:t xml:space="preserve">y</w:t>
      </w:r>
      <w:r>
        <w:t xml:space="preserve"> </w:t>
      </w:r>
      <w:r>
        <w:rPr>
          <w:i/>
          <w:iCs/>
        </w:rPr>
        <w:t xml:space="preserve">Kipus</w:t>
      </w:r>
      <w:r>
        <w:t xml:space="preserve">, de encaje temático alto, si están recibiendo artículos.</w:t>
      </w:r>
    </w:p>
    <w:p>
      <w:pPr>
        <w:pStyle w:val="Compact"/>
        <w:numPr>
          <w:ilvl w:val="0"/>
          <w:numId w:val="1001"/>
        </w:numPr>
      </w:pPr>
      <w:r>
        <w:rPr>
          <w:b/>
          <w:bCs/>
        </w:rPr>
        <w:t xml:space="preserve">Una revista por vez.</w:t>
      </w:r>
      <w:r>
        <w:t xml:space="preserve"> </w:t>
      </w:r>
      <w:r>
        <w:t xml:space="preserve">Las revistas piden textos inéditos que no estén en evaluación en otra parte. Si una rechaza el texto, pasa a la siguiente.</w:t>
      </w:r>
    </w:p>
    <w:p>
      <w:pPr>
        <w:pStyle w:val="Compact"/>
        <w:numPr>
          <w:ilvl w:val="0"/>
          <w:numId w:val="1001"/>
        </w:numPr>
      </w:pPr>
      <w:r>
        <w:rPr>
          <w:b/>
          <w:bCs/>
        </w:rPr>
        <w:t xml:space="preserve">No conviene perseguir plazos cercanos que encajan a medias.</w:t>
      </w:r>
      <w:r>
        <w:t xml:space="preserve"> </w:t>
      </w:r>
      <w:r>
        <w:t xml:space="preserve">Por ejemplo, el llamado n.º 36 de</w:t>
      </w:r>
      <w:r>
        <w:t xml:space="preserve"> </w:t>
      </w:r>
      <w:r>
        <w:rPr>
          <w:i/>
          <w:iCs/>
        </w:rPr>
        <w:t xml:space="preserve">452ºF</w:t>
      </w:r>
      <w:r>
        <w:t xml:space="preserve"> </w:t>
      </w:r>
      <w:r>
        <w:t xml:space="preserve">(cierra el 15 de octubre) pide de 8 a 15 páginas y un encuadre distinto.</w:t>
      </w:r>
    </w:p>
    <w:bookmarkEnd w:id="9"/>
    <w:bookmarkStart w:id="10" w:name="las-diez-candidatas"/>
    <w:p>
      <w:pPr>
        <w:pStyle w:val="Heading2"/>
      </w:pPr>
      <w:r>
        <w:t xml:space="preserve">Las diez candidatas</w:t>
      </w:r>
    </w:p>
    <w:p>
      <w:pPr>
        <w:pStyle w:val="FirstParagraph"/>
      </w:pPr>
      <w:r>
        <w:t xml:space="preserve">Ordenadas por encaje y factibilidad. Estado al 10 de octubre de 2026.</w:t>
      </w:r>
    </w:p>
    <w:tbl>
      <w:tblPr>
        <w:tblStyle w:val="Table"/>
        <w:tblW w:type="dxa" w:w="940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firstRow="1" w:lastRow="0" w:firstColumn="0" w:lastColumn="0" w:noHBand="0" w:noVBand="0" w:val="0020"/>
      </w:tblPr>
      <w:tblGrid>
        <w:gridCol w:w="680"/>
        <w:gridCol w:w="2361"/>
        <w:gridCol w:w="1655"/>
        <w:gridCol w:w="3172"/>
        <w:gridCol w:w="1536"/>
      </w:tblGrid>
      <w:tr>
        <w:trPr>
          <w:cantSplit/>
          <w:tblHeader/>
        </w:trPr>
        <w:tc>
          <w:tcPr>
            <w:tcW w:type="dxa" w:w="680"/>
            <w:shd w:val="clear" w:color="auto" w:fill="EDEDED"/>
          </w:tcPr>
          <w:p>
            <w:pPr>
              <w:pStyle w:val="Compact"/>
              <w:spacing w:line="240" w:lineRule="auto" w:after="20" w:before="20"/>
            </w:pPr>
            <w:r>
              <w:rPr>
                <w:b/>
                <w:sz w:val="19"/>
              </w:rPr>
              <w:t xml:space="preserve">N.º</w:t>
            </w:r>
          </w:p>
        </w:tc>
        <w:tc>
          <w:tcPr>
            <w:tcW w:type="dxa" w:w="2361"/>
            <w:shd w:val="clear" w:color="auto" w:fill="EDEDED"/>
          </w:tcPr>
          <w:p>
            <w:pPr>
              <w:pStyle w:val="Compact"/>
              <w:spacing w:line="240" w:lineRule="auto" w:after="20" w:before="20"/>
            </w:pPr>
            <w:r>
              <w:rPr>
                <w:b/>
                <w:sz w:val="19"/>
              </w:rPr>
              <w:t xml:space="preserve">Revista</w:t>
            </w:r>
          </w:p>
        </w:tc>
        <w:tc>
          <w:tcPr>
            <w:tcW w:type="dxa" w:w="1655"/>
            <w:shd w:val="clear" w:color="auto" w:fill="EDEDED"/>
          </w:tcPr>
          <w:p>
            <w:pPr>
              <w:pStyle w:val="Compact"/>
              <w:spacing w:line="240" w:lineRule="auto" w:after="20" w:before="20"/>
            </w:pPr>
            <w:r>
              <w:rPr>
                <w:b/>
                <w:sz w:val="19"/>
              </w:rPr>
              <w:t xml:space="preserve">Estado</w:t>
            </w:r>
          </w:p>
        </w:tc>
        <w:tc>
          <w:tcPr>
            <w:tcW w:type="dxa" w:w="3172"/>
            <w:shd w:val="clear" w:color="auto" w:fill="EDEDED"/>
          </w:tcPr>
          <w:p>
            <w:pPr>
              <w:pStyle w:val="Compact"/>
              <w:spacing w:line="240" w:lineRule="auto" w:after="20" w:before="20"/>
            </w:pPr>
            <w:r>
              <w:rPr>
                <w:b/>
                <w:sz w:val="19"/>
              </w:rPr>
              <w:t xml:space="preserve">Qué pide al artículo</w:t>
            </w:r>
          </w:p>
        </w:tc>
        <w:tc>
          <w:tcPr>
            <w:tcW w:type="dxa" w:w="1536"/>
            <w:shd w:val="clear" w:color="auto" w:fill="EDEDED"/>
          </w:tcPr>
          <w:p>
            <w:pPr>
              <w:pStyle w:val="Compact"/>
              <w:spacing w:line="240" w:lineRule="auto" w:after="20" w:before="20"/>
            </w:pPr>
            <w:r>
              <w:rPr>
                <w:b/>
                <w:sz w:val="19"/>
              </w:rPr>
              <w:t xml:space="preserve">Qué falta confirmar</w:t>
            </w:r>
          </w:p>
        </w:tc>
      </w:tr>
      <w:tr>
        <w:trPr>
          <w:cantSplit/>
        </w:trPr>
        <w:tc>
          <w:tcPr>
            <w:tcW w:type="dxa" w:w="680"/>
          </w:tcPr>
          <w:p>
            <w:pPr>
              <w:pStyle w:val="Compact"/>
              <w:spacing w:line="240" w:lineRule="auto" w:after="20" w:before="20"/>
            </w:pPr>
            <w:r>
              <w:rPr>
                <w:sz w:val="19"/>
              </w:rPr>
              <w:t xml:space="preserve">1</w:t>
            </w:r>
          </w:p>
        </w:tc>
        <w:tc>
          <w:tcPr>
            <w:tcW w:type="dxa" w:w="2361"/>
          </w:tcPr>
          <w:p>
            <w:pPr>
              <w:pStyle w:val="Compact"/>
              <w:spacing w:line="240" w:lineRule="auto" w:after="20" w:before="20"/>
            </w:pPr>
            <w:r>
              <w:rPr>
                <w:b/>
                <w:bCs/>
                <w:i/>
                <w:iCs/>
                <w:sz w:val="19"/>
              </w:rPr>
              <w:t xml:space="preserve">Atenea</w:t>
            </w:r>
            <w:r>
              <w:rPr>
                <w:sz w:val="19"/>
              </w:rPr>
              <w:t xml:space="preserve"> </w:t>
            </w:r>
            <w:r>
              <w:rPr>
                <w:sz w:val="19"/>
              </w:rPr>
              <w:t xml:space="preserve">(U. de Concepción, Chile). Junta arquitectura, literatura y artes visuales</w:t>
            </w:r>
          </w:p>
        </w:tc>
        <w:tc>
          <w:tcPr>
            <w:tcW w:type="dxa" w:w="1655"/>
          </w:tcPr>
          <w:p>
            <w:pPr>
              <w:pStyle w:val="Compact"/>
              <w:spacing w:line="240" w:lineRule="auto" w:after="20" w:before="20"/>
            </w:pPr>
            <w:r>
              <w:rPr>
                <w:sz w:val="19"/>
              </w:rPr>
              <w:t xml:space="preserve">Abierta todo el año</w:t>
            </w:r>
          </w:p>
        </w:tc>
        <w:tc>
          <w:tcPr>
            <w:tcW w:type="dxa" w:w="3172"/>
          </w:tcPr>
          <w:p>
            <w:pPr>
              <w:pStyle w:val="Compact"/>
              <w:spacing w:line="240" w:lineRule="auto" w:after="20" w:before="20"/>
            </w:pPr>
            <w:r>
              <w:rPr>
                <w:sz w:val="19"/>
              </w:rPr>
              <w:t xml:space="preserve">Hasta 8.500 palabras con referencias, resumen y palabras clave: quitar unas 2.450 (≈22 %). Resumen de hasta 180 palabras, doble espacio, figuras aparte en JPG o TIF, a 300 ppp o más y con 12 cm de ancho como mínimo</w:t>
            </w:r>
          </w:p>
        </w:tc>
        <w:tc>
          <w:tcPr>
            <w:tcW w:type="dxa" w:w="1536"/>
          </w:tcPr>
          <w:p>
            <w:pPr>
              <w:pStyle w:val="Compact"/>
              <w:spacing w:line="240" w:lineRule="auto" w:after="20" w:before="20"/>
            </w:pPr>
            <w:r>
              <w:rPr>
                <w:sz w:val="19"/>
              </w:rPr>
              <w:t xml:space="preserve">Indexación más allá de SciELO Chile, cobros y política de IA</w:t>
            </w:r>
          </w:p>
        </w:tc>
      </w:tr>
      <w:tr>
        <w:trPr>
          <w:cantSplit/>
        </w:trPr>
        <w:tc>
          <w:tcPr>
            <w:tcW w:type="dxa" w:w="680"/>
          </w:tcPr>
          <w:p>
            <w:pPr>
              <w:pStyle w:val="Compact"/>
              <w:spacing w:line="240" w:lineRule="auto" w:after="20" w:before="20"/>
            </w:pPr>
            <w:r>
              <w:rPr>
                <w:sz w:val="19"/>
              </w:rPr>
              <w:t xml:space="preserve">2</w:t>
            </w:r>
          </w:p>
        </w:tc>
        <w:tc>
          <w:tcPr>
            <w:tcW w:type="dxa" w:w="2361"/>
          </w:tcPr>
          <w:p>
            <w:pPr>
              <w:pStyle w:val="Compact"/>
              <w:spacing w:line="240" w:lineRule="auto" w:after="20" w:before="20"/>
            </w:pPr>
            <w:r>
              <w:rPr>
                <w:b/>
                <w:bCs/>
                <w:i/>
                <w:iCs/>
                <w:sz w:val="19"/>
              </w:rPr>
              <w:t xml:space="preserve">Revista de Crítica Literaria Latinoamericana</w:t>
            </w:r>
            <w:r>
              <w:rPr>
                <w:sz w:val="19"/>
              </w:rPr>
              <w:t xml:space="preserve"> </w:t>
            </w:r>
            <w:r>
              <w:rPr>
                <w:sz w:val="19"/>
              </w:rPr>
              <w:t xml:space="preserve">(Tufts y UNMSM). La fundó Cornejo Polar</w:t>
            </w:r>
          </w:p>
        </w:tc>
        <w:tc>
          <w:tcPr>
            <w:tcW w:type="dxa" w:w="1655"/>
          </w:tcPr>
          <w:p>
            <w:pPr>
              <w:pStyle w:val="Compact"/>
              <w:spacing w:line="240" w:lineRule="auto" w:after="20" w:before="20"/>
            </w:pPr>
            <w:r>
              <w:rPr>
                <w:sz w:val="19"/>
              </w:rPr>
              <w:t xml:space="preserve">Miscelánea abierta para los n.º 104 y 105; cierre sin confirmar</w:t>
            </w:r>
          </w:p>
        </w:tc>
        <w:tc>
          <w:tcPr>
            <w:tcW w:type="dxa" w:w="3172"/>
          </w:tcPr>
          <w:p>
            <w:pPr>
              <w:pStyle w:val="Compact"/>
              <w:spacing w:line="240" w:lineRule="auto" w:after="20" w:before="20"/>
            </w:pPr>
            <w:r>
              <w:rPr>
                <w:sz w:val="19"/>
              </w:rPr>
              <w:t xml:space="preserve">Envío por correo (rclldirector.flch@unmsm.edu.pe). Reforzar el encuadre crítico-literario: la heterogeneidad y el narrador indigenista</w:t>
            </w:r>
          </w:p>
        </w:tc>
        <w:tc>
          <w:tcPr>
            <w:tcW w:type="dxa" w:w="1536"/>
          </w:tcPr>
          <w:p>
            <w:pPr>
              <w:pStyle w:val="Compact"/>
              <w:spacing w:line="240" w:lineRule="auto" w:after="20" w:before="20"/>
            </w:pPr>
            <w:r>
              <w:rPr>
                <w:sz w:val="19"/>
              </w:rPr>
              <w:t xml:space="preserve">Extensión, figuras, cobros e indexación: preguntar antes</w:t>
            </w:r>
          </w:p>
        </w:tc>
      </w:tr>
      <w:tr>
        <w:trPr>
          <w:cantSplit/>
        </w:trPr>
        <w:tc>
          <w:tcPr>
            <w:tcW w:type="dxa" w:w="680"/>
          </w:tcPr>
          <w:p>
            <w:pPr>
              <w:pStyle w:val="Compact"/>
              <w:spacing w:line="240" w:lineRule="auto" w:after="20" w:before="20"/>
            </w:pPr>
            <w:r>
              <w:rPr>
                <w:sz w:val="19"/>
              </w:rPr>
              <w:t xml:space="preserve">3</w:t>
            </w:r>
          </w:p>
        </w:tc>
        <w:tc>
          <w:tcPr>
            <w:tcW w:type="dxa" w:w="2361"/>
          </w:tcPr>
          <w:p>
            <w:pPr>
              <w:pStyle w:val="Compact"/>
              <w:spacing w:line="240" w:lineRule="auto" w:after="20" w:before="20"/>
            </w:pPr>
            <w:r>
              <w:rPr>
                <w:b/>
                <w:bCs/>
                <w:i/>
                <w:iCs/>
                <w:sz w:val="19"/>
              </w:rPr>
              <w:t xml:space="preserve">Literatura y Lingüística</w:t>
            </w:r>
            <w:r>
              <w:rPr>
                <w:sz w:val="19"/>
              </w:rPr>
              <w:t xml:space="preserve"> </w:t>
            </w:r>
            <w:r>
              <w:rPr>
                <w:sz w:val="19"/>
              </w:rPr>
              <w:t xml:space="preserve">(UCSH, Chile). Scopus, MLA, SciELO; dictamen en tres meses como máximo</w:t>
            </w:r>
          </w:p>
        </w:tc>
        <w:tc>
          <w:tcPr>
            <w:tcW w:type="dxa" w:w="1655"/>
          </w:tcPr>
          <w:p>
            <w:pPr>
              <w:pStyle w:val="Compact"/>
              <w:spacing w:line="240" w:lineRule="auto" w:after="20" w:before="20"/>
            </w:pPr>
            <w:r>
              <w:rPr>
                <w:sz w:val="19"/>
              </w:rPr>
              <w:t xml:space="preserve">Abierta todo el año</w:t>
            </w:r>
          </w:p>
        </w:tc>
        <w:tc>
          <w:tcPr>
            <w:tcW w:type="dxa" w:w="3172"/>
          </w:tcPr>
          <w:p>
            <w:pPr>
              <w:pStyle w:val="Compact"/>
              <w:spacing w:line="240" w:lineRule="auto" w:after="20" w:before="20"/>
            </w:pPr>
            <w:r>
              <w:rPr>
                <w:sz w:val="19"/>
              </w:rPr>
              <w:t xml:space="preserve">Hasta 9.000 palabras «incluyendo gráficos, tablas, ilustraciones»: quitar unas 1.950 (≈18 %), más si cuentan las figuras. APA 7, interlineado 1,5</w:t>
            </w:r>
          </w:p>
        </w:tc>
        <w:tc>
          <w:tcPr>
            <w:tcW w:type="dxa" w:w="1536"/>
          </w:tcPr>
          <w:p>
            <w:pPr>
              <w:pStyle w:val="Compact"/>
              <w:spacing w:line="240" w:lineRule="auto" w:after="20" w:before="20"/>
            </w:pPr>
            <w:r>
              <w:rPr>
                <w:sz w:val="19"/>
              </w:rPr>
              <w:t xml:space="preserve">Cobros. Hay que dar más peso a lo literario</w:t>
            </w:r>
          </w:p>
        </w:tc>
      </w:tr>
      <w:tr>
        <w:trPr>
          <w:cantSplit/>
        </w:trPr>
        <w:tc>
          <w:tcPr>
            <w:tcW w:type="dxa" w:w="680"/>
          </w:tcPr>
          <w:p>
            <w:pPr>
              <w:pStyle w:val="Compact"/>
              <w:spacing w:line="240" w:lineRule="auto" w:after="20" w:before="20"/>
            </w:pPr>
            <w:r>
              <w:rPr>
                <w:sz w:val="19"/>
              </w:rPr>
              <w:t xml:space="preserve">4</w:t>
            </w:r>
          </w:p>
        </w:tc>
        <w:tc>
          <w:tcPr>
            <w:tcW w:type="dxa" w:w="2361"/>
          </w:tcPr>
          <w:p>
            <w:pPr>
              <w:pStyle w:val="Compact"/>
              <w:spacing w:line="240" w:lineRule="auto" w:after="20" w:before="20"/>
            </w:pPr>
            <w:r>
              <w:rPr>
                <w:b/>
                <w:bCs/>
                <w:i/>
                <w:iCs/>
                <w:sz w:val="19"/>
              </w:rPr>
              <w:t xml:space="preserve">Bolivian Studies Journal</w:t>
            </w:r>
            <w:r>
              <w:rPr>
                <w:sz w:val="19"/>
              </w:rPr>
              <w:t xml:space="preserve"> </w:t>
            </w:r>
            <w:r>
              <w:rPr>
                <w:sz w:val="19"/>
              </w:rPr>
              <w:t xml:space="preserve">(U. de Pittsburgh, EE. UU.). Estudios andinos, indigeneidad, literatura y artes visuales; acepta español; no cobra</w:t>
            </w:r>
          </w:p>
        </w:tc>
        <w:tc>
          <w:tcPr>
            <w:tcW w:type="dxa" w:w="1655"/>
          </w:tcPr>
          <w:p>
            <w:pPr>
              <w:pStyle w:val="Compact"/>
              <w:spacing w:line="240" w:lineRule="auto" w:after="20" w:before="20"/>
            </w:pPr>
            <w:r>
              <w:rPr>
                <w:sz w:val="19"/>
              </w:rPr>
              <w:t xml:space="preserve">Por confirmar: el llamado de 2026 venció el 20 de marzo y el de 2027 no ha aparecido</w:t>
            </w:r>
          </w:p>
        </w:tc>
        <w:tc>
          <w:tcPr>
            <w:tcW w:type="dxa" w:w="3172"/>
          </w:tcPr>
          <w:p>
            <w:pPr>
              <w:pStyle w:val="Compact"/>
              <w:spacing w:line="240" w:lineRule="auto" w:after="20" w:before="20"/>
            </w:pPr>
            <w:r>
              <w:rPr>
                <w:sz w:val="19"/>
              </w:rPr>
              <w:t xml:space="preserve">Recomienda 25 páginas a doble espacio (unas 6.000 a 7.000 palabras): cerca de un 40 % menos, o consultar a la editora. MLA, figuras dentro del texto</w:t>
            </w:r>
          </w:p>
        </w:tc>
        <w:tc>
          <w:tcPr>
            <w:tcW w:type="dxa" w:w="1536"/>
          </w:tcPr>
          <w:p>
            <w:pPr>
              <w:pStyle w:val="Compact"/>
              <w:spacing w:line="240" w:lineRule="auto" w:after="20" w:before="20"/>
            </w:pPr>
            <w:r>
              <w:rPr>
                <w:sz w:val="19"/>
              </w:rPr>
              <w:t xml:space="preserve">Si recibe artículos para 2027</w:t>
            </w:r>
          </w:p>
        </w:tc>
      </w:tr>
      <w:tr>
        <w:trPr>
          <w:cantSplit/>
        </w:trPr>
        <w:tc>
          <w:tcPr>
            <w:tcW w:type="dxa" w:w="680"/>
          </w:tcPr>
          <w:p>
            <w:pPr>
              <w:pStyle w:val="Compact"/>
              <w:spacing w:line="240" w:lineRule="auto" w:after="20" w:before="20"/>
            </w:pPr>
            <w:r>
              <w:rPr>
                <w:sz w:val="19"/>
              </w:rPr>
              <w:t xml:space="preserve">5</w:t>
            </w:r>
          </w:p>
        </w:tc>
        <w:tc>
          <w:tcPr>
            <w:tcW w:type="dxa" w:w="2361"/>
          </w:tcPr>
          <w:p>
            <w:pPr>
              <w:pStyle w:val="Compact"/>
              <w:spacing w:line="240" w:lineRule="auto" w:after="20" w:before="20"/>
            </w:pPr>
            <w:r>
              <w:rPr>
                <w:b/>
                <w:bCs/>
                <w:i/>
                <w:iCs/>
                <w:sz w:val="19"/>
              </w:rPr>
              <w:t xml:space="preserve">Kipus</w:t>
            </w:r>
            <w:r>
              <w:rPr>
                <w:sz w:val="19"/>
              </w:rPr>
              <w:t xml:space="preserve"> </w:t>
            </w:r>
            <w:r>
              <w:rPr>
                <w:sz w:val="19"/>
              </w:rPr>
              <w:t xml:space="preserve">(Universidad Andina Simón Bolívar, Quito). El mejor encaje andino</w:t>
            </w:r>
          </w:p>
        </w:tc>
        <w:tc>
          <w:tcPr>
            <w:tcW w:type="dxa" w:w="1655"/>
          </w:tcPr>
          <w:p>
            <w:pPr>
              <w:pStyle w:val="Compact"/>
              <w:spacing w:line="240" w:lineRule="auto" w:after="20" w:before="20"/>
            </w:pPr>
            <w:r>
              <w:rPr>
                <w:sz w:val="19"/>
              </w:rPr>
              <w:t xml:space="preserve">Por confirmar: solo recibe dentro de cada convocatoria</w:t>
            </w:r>
          </w:p>
        </w:tc>
        <w:tc>
          <w:tcPr>
            <w:tcW w:type="dxa" w:w="3172"/>
          </w:tcPr>
          <w:p>
            <w:pPr>
              <w:pStyle w:val="Compact"/>
              <w:spacing w:line="240" w:lineRule="auto" w:after="20" w:before="20"/>
            </w:pPr>
            <w:r>
              <w:rPr>
                <w:sz w:val="19"/>
              </w:rPr>
              <w:t xml:space="preserve">Hasta 9.500 palabras con notas y bibliografía: quitar unas 1.450 (≈13 %). Nota biobibliográfica de 100 a 150 palabras</w:t>
            </w:r>
          </w:p>
        </w:tc>
        <w:tc>
          <w:tcPr>
            <w:tcW w:type="dxa" w:w="1536"/>
          </w:tcPr>
          <w:p>
            <w:pPr>
              <w:pStyle w:val="Compact"/>
              <w:spacing w:line="240" w:lineRule="auto" w:after="20" w:before="20"/>
            </w:pPr>
            <w:r>
              <w:rPr>
                <w:sz w:val="19"/>
              </w:rPr>
              <w:t xml:space="preserve">Si la sección Crítica, de tema libre, está abierta y hasta cuándo</w:t>
            </w:r>
          </w:p>
        </w:tc>
      </w:tr>
      <w:tr>
        <w:trPr>
          <w:cantSplit/>
        </w:trPr>
        <w:tc>
          <w:tcPr>
            <w:tcW w:type="dxa" w:w="680"/>
          </w:tcPr>
          <w:p>
            <w:pPr>
              <w:pStyle w:val="Compact"/>
              <w:spacing w:line="240" w:lineRule="auto" w:after="20" w:before="20"/>
            </w:pPr>
            <w:r>
              <w:rPr>
                <w:sz w:val="19"/>
              </w:rPr>
              <w:t xml:space="preserve">6</w:t>
            </w:r>
          </w:p>
        </w:tc>
        <w:tc>
          <w:tcPr>
            <w:tcW w:type="dxa" w:w="2361"/>
          </w:tcPr>
          <w:p>
            <w:pPr>
              <w:pStyle w:val="Compact"/>
              <w:spacing w:line="240" w:lineRule="auto" w:after="20" w:before="20"/>
            </w:pPr>
            <w:r>
              <w:rPr>
                <w:b/>
                <w:bCs/>
                <w:i/>
                <w:iCs/>
                <w:sz w:val="19"/>
              </w:rPr>
              <w:t xml:space="preserve">Estudios Filológicos</w:t>
            </w:r>
            <w:r>
              <w:rPr>
                <w:sz w:val="19"/>
              </w:rPr>
              <w:t xml:space="preserve"> </w:t>
            </w:r>
            <w:r>
              <w:rPr>
                <w:sz w:val="19"/>
              </w:rPr>
              <w:t xml:space="preserve">(U. Austral de Chile). Web of Science (Arts &amp; Humanities Citation Index), Scopus, SciELO</w:t>
            </w:r>
          </w:p>
        </w:tc>
        <w:tc>
          <w:tcPr>
            <w:tcW w:type="dxa" w:w="1655"/>
          </w:tcPr>
          <w:p>
            <w:pPr>
              <w:pStyle w:val="Compact"/>
              <w:spacing w:line="240" w:lineRule="auto" w:after="20" w:before="20"/>
            </w:pPr>
            <w:r>
              <w:rPr>
                <w:sz w:val="19"/>
              </w:rPr>
              <w:t xml:space="preserve">Recepción permanente</w:t>
            </w:r>
          </w:p>
        </w:tc>
        <w:tc>
          <w:tcPr>
            <w:tcW w:type="dxa" w:w="3172"/>
          </w:tcPr>
          <w:p>
            <w:pPr>
              <w:pStyle w:val="Compact"/>
              <w:spacing w:line="240" w:lineRule="auto" w:after="20" w:before="20"/>
            </w:pPr>
            <w:r>
              <w:rPr>
                <w:sz w:val="19"/>
              </w:rPr>
              <w:t xml:space="preserve">Hasta 9.000 palabras con notas, bibliografía, gráficos y tablas: quitar unas 1.950 (≈18 %). MLA; resúmenes de hasta 150 palabras; envío anónimo a efil@uach.cl</w:t>
            </w:r>
          </w:p>
        </w:tc>
        <w:tc>
          <w:tcPr>
            <w:tcW w:type="dxa" w:w="1536"/>
          </w:tcPr>
          <w:p>
            <w:pPr>
              <w:pStyle w:val="Compact"/>
              <w:spacing w:line="240" w:lineRule="auto" w:after="20" w:before="20"/>
            </w:pPr>
            <w:r>
              <w:rPr>
                <w:sz w:val="19"/>
              </w:rPr>
              <w:t xml:space="preserve">Si admite láminas artísticas: sus normas solo nombran gráficos y tablas</w:t>
            </w:r>
          </w:p>
        </w:tc>
      </w:tr>
      <w:tr>
        <w:trPr>
          <w:cantSplit/>
        </w:trPr>
        <w:tc>
          <w:tcPr>
            <w:tcW w:type="dxa" w:w="680"/>
          </w:tcPr>
          <w:p>
            <w:pPr>
              <w:pStyle w:val="Compact"/>
              <w:spacing w:line="240" w:lineRule="auto" w:after="20" w:before="20"/>
            </w:pPr>
            <w:r>
              <w:rPr>
                <w:sz w:val="19"/>
              </w:rPr>
              <w:t xml:space="preserve">7</w:t>
            </w:r>
          </w:p>
        </w:tc>
        <w:tc>
          <w:tcPr>
            <w:tcW w:type="dxa" w:w="2361"/>
          </w:tcPr>
          <w:p>
            <w:pPr>
              <w:pStyle w:val="Compact"/>
              <w:spacing w:line="240" w:lineRule="auto" w:after="20" w:before="20"/>
            </w:pPr>
            <w:r>
              <w:rPr>
                <w:b/>
                <w:bCs/>
                <w:i/>
                <w:iCs/>
                <w:sz w:val="19"/>
              </w:rPr>
              <w:t xml:space="preserve">Alpha</w:t>
            </w:r>
            <w:r>
              <w:rPr>
                <w:sz w:val="19"/>
              </w:rPr>
              <w:t xml:space="preserve"> </w:t>
            </w:r>
            <w:r>
              <w:rPr>
                <w:sz w:val="19"/>
              </w:rPr>
              <w:t xml:space="preserve">(U. de Los Lagos, Chile). Artes, letras y filosofía; gratuita; Web of Science y Scopus</w:t>
            </w:r>
          </w:p>
        </w:tc>
        <w:tc>
          <w:tcPr>
            <w:tcW w:type="dxa" w:w="1655"/>
          </w:tcPr>
          <w:p>
            <w:pPr>
              <w:pStyle w:val="Compact"/>
              <w:spacing w:line="240" w:lineRule="auto" w:after="20" w:before="20"/>
            </w:pPr>
            <w:r>
              <w:rPr>
                <w:sz w:val="19"/>
              </w:rPr>
              <w:t xml:space="preserve">Abierta de abril a noviembre de 2026; día de cierre sin confirmar</w:t>
            </w:r>
          </w:p>
        </w:tc>
        <w:tc>
          <w:tcPr>
            <w:tcW w:type="dxa" w:w="3172"/>
          </w:tcPr>
          <w:p>
            <w:pPr>
              <w:pStyle w:val="Compact"/>
              <w:spacing w:line="240" w:lineRule="auto" w:after="20" w:before="20"/>
            </w:pPr>
            <w:r>
              <w:rPr>
                <w:sz w:val="19"/>
              </w:rPr>
              <w:t xml:space="preserve">De 12 a 20 páginas a interlineado 1,5 con bibliografía: el Word tiene 33, así que hay que quitar cerca de un 40 % o dejar 3 o 4 figuras y ninguna imagen. APA</w:t>
            </w:r>
          </w:p>
        </w:tc>
        <w:tc>
          <w:tcPr>
            <w:tcW w:type="dxa" w:w="1536"/>
          </w:tcPr>
          <w:p>
            <w:pPr>
              <w:pStyle w:val="Compact"/>
              <w:spacing w:line="240" w:lineRule="auto" w:after="20" w:before="20"/>
            </w:pPr>
            <w:r>
              <w:rPr>
                <w:sz w:val="19"/>
              </w:rPr>
              <w:t xml:space="preserve">El día de cierre: conviene tomar el 31 de octubre como límite práctico</w:t>
            </w:r>
          </w:p>
        </w:tc>
      </w:tr>
      <w:tr>
        <w:trPr>
          <w:cantSplit/>
        </w:trPr>
        <w:tc>
          <w:tcPr>
            <w:tcW w:type="dxa" w:w="680"/>
          </w:tcPr>
          <w:p>
            <w:pPr>
              <w:pStyle w:val="Compact"/>
              <w:spacing w:line="240" w:lineRule="auto" w:after="20" w:before="20"/>
            </w:pPr>
            <w:r>
              <w:rPr>
                <w:sz w:val="19"/>
              </w:rPr>
              <w:t xml:space="preserve">8</w:t>
            </w:r>
          </w:p>
        </w:tc>
        <w:tc>
          <w:tcPr>
            <w:tcW w:type="dxa" w:w="2361"/>
          </w:tcPr>
          <w:p>
            <w:pPr>
              <w:pStyle w:val="Compact"/>
              <w:spacing w:line="240" w:lineRule="auto" w:after="20" w:before="20"/>
            </w:pPr>
            <w:r>
              <w:rPr>
                <w:b/>
                <w:bCs/>
                <w:i/>
                <w:iCs/>
                <w:sz w:val="19"/>
              </w:rPr>
              <w:t xml:space="preserve">Dearq</w:t>
            </w:r>
            <w:r>
              <w:rPr>
                <w:sz w:val="19"/>
              </w:rPr>
              <w:t xml:space="preserve"> </w:t>
            </w:r>
            <w:r>
              <w:rPr>
                <w:sz w:val="19"/>
              </w:rPr>
              <w:t xml:space="preserve">n.º 50, «Arquitecturas con aroma» (U. de los Andes, Colombia). Arquitectura según escala, tiempo y recursos; enfoques del Sur Global</w:t>
            </w:r>
          </w:p>
        </w:tc>
        <w:tc>
          <w:tcPr>
            <w:tcW w:type="dxa" w:w="1655"/>
          </w:tcPr>
          <w:p>
            <w:pPr>
              <w:pStyle w:val="Compact"/>
              <w:spacing w:line="240" w:lineRule="auto" w:after="20" w:before="20"/>
            </w:pPr>
            <w:r>
              <w:rPr>
                <w:sz w:val="19"/>
              </w:rPr>
              <w:t xml:space="preserve">Abierta hasta el 22 de noviembre de 2026</w:t>
            </w:r>
          </w:p>
        </w:tc>
        <w:tc>
          <w:tcPr>
            <w:tcW w:type="dxa" w:w="3172"/>
          </w:tcPr>
          <w:p>
            <w:pPr>
              <w:pStyle w:val="Compact"/>
              <w:spacing w:line="240" w:lineRule="auto" w:after="20" w:before="20"/>
            </w:pPr>
            <w:r>
              <w:rPr>
                <w:sz w:val="19"/>
              </w:rPr>
              <w:t xml:space="preserve">Reescribir la introducción y la conclusión con esos tres ejes y poner delante la lectura arquitectónica</w:t>
            </w:r>
          </w:p>
        </w:tc>
        <w:tc>
          <w:tcPr>
            <w:tcW w:type="dxa" w:w="1536"/>
          </w:tcPr>
          <w:p>
            <w:pPr>
              <w:pStyle w:val="Compact"/>
              <w:spacing w:line="240" w:lineRule="auto" w:after="20" w:before="20"/>
            </w:pPr>
            <w:r>
              <w:rPr>
                <w:sz w:val="19"/>
              </w:rPr>
              <w:t xml:space="preserve">Extensión, idioma y figuras</w:t>
            </w:r>
          </w:p>
        </w:tc>
      </w:tr>
      <w:tr>
        <w:trPr>
          <w:cantSplit/>
        </w:trPr>
        <w:tc>
          <w:tcPr>
            <w:tcW w:type="dxa" w:w="680"/>
          </w:tcPr>
          <w:p>
            <w:pPr>
              <w:pStyle w:val="Compact"/>
              <w:spacing w:line="240" w:lineRule="auto" w:after="20" w:before="20"/>
            </w:pPr>
            <w:r>
              <w:rPr>
                <w:sz w:val="19"/>
              </w:rPr>
              <w:t xml:space="preserve">9</w:t>
            </w:r>
          </w:p>
        </w:tc>
        <w:tc>
          <w:tcPr>
            <w:tcW w:type="dxa" w:w="2361"/>
          </w:tcPr>
          <w:p>
            <w:pPr>
              <w:pStyle w:val="Compact"/>
              <w:spacing w:line="240" w:lineRule="auto" w:after="20" w:before="20"/>
            </w:pPr>
            <w:r>
              <w:rPr>
                <w:b/>
                <w:bCs/>
                <w:i/>
                <w:iCs/>
                <w:sz w:val="19"/>
              </w:rPr>
              <w:t xml:space="preserve">Revista 180</w:t>
            </w:r>
            <w:r>
              <w:rPr>
                <w:sz w:val="19"/>
              </w:rPr>
              <w:t xml:space="preserve"> </w:t>
            </w:r>
            <w:r>
              <w:rPr>
                <w:sz w:val="19"/>
              </w:rPr>
              <w:t xml:space="preserve">(U. Diego Portales, Chile). Arquitectura, arte y diseño; Scopus y Arts &amp; Humanities Citation Index</w:t>
            </w:r>
          </w:p>
        </w:tc>
        <w:tc>
          <w:tcPr>
            <w:tcW w:type="dxa" w:w="1655"/>
          </w:tcPr>
          <w:p>
            <w:pPr>
              <w:pStyle w:val="Compact"/>
              <w:spacing w:line="240" w:lineRule="auto" w:after="20" w:before="20"/>
            </w:pPr>
            <w:r>
              <w:rPr>
                <w:sz w:val="19"/>
              </w:rPr>
              <w:t xml:space="preserve">Abierta todo el año</w:t>
            </w:r>
          </w:p>
        </w:tc>
        <w:tc>
          <w:tcPr>
            <w:tcW w:type="dxa" w:w="3172"/>
          </w:tcPr>
          <w:p>
            <w:pPr>
              <w:pStyle w:val="Compact"/>
              <w:spacing w:line="240" w:lineRule="auto" w:after="20" w:before="20"/>
            </w:pPr>
            <w:r>
              <w:rPr>
                <w:sz w:val="19"/>
              </w:rPr>
              <w:t xml:space="preserve">De 4.000 a 6.000 palabras sin bibliografía: el texto corrido ya se pasa en unas 1.600 palabras; si cuentan los pies y las notas, hay que quitar unas 3.900</w:t>
            </w:r>
          </w:p>
        </w:tc>
        <w:tc>
          <w:tcPr>
            <w:tcW w:type="dxa" w:w="1536"/>
          </w:tcPr>
          <w:p>
            <w:pPr>
              <w:pStyle w:val="Compact"/>
              <w:spacing w:line="240" w:lineRule="auto" w:after="20" w:before="20"/>
            </w:pPr>
            <w:r>
              <w:rPr>
                <w:sz w:val="19"/>
              </w:rPr>
              <w:t xml:space="preserve">Cobros y política de imágenes</w:t>
            </w:r>
          </w:p>
        </w:tc>
      </w:tr>
      <w:tr>
        <w:trPr>
          <w:cantSplit/>
        </w:trPr>
        <w:tc>
          <w:tcPr>
            <w:tcW w:type="dxa" w:w="680"/>
          </w:tcPr>
          <w:p>
            <w:pPr>
              <w:pStyle w:val="Compact"/>
              <w:spacing w:line="240" w:lineRule="auto" w:after="20" w:before="20"/>
            </w:pPr>
            <w:r>
              <w:rPr>
                <w:sz w:val="19"/>
              </w:rPr>
              <w:t xml:space="preserve">10</w:t>
            </w:r>
          </w:p>
        </w:tc>
        <w:tc>
          <w:tcPr>
            <w:tcW w:type="dxa" w:w="2361"/>
          </w:tcPr>
          <w:p>
            <w:pPr>
              <w:pStyle w:val="Compact"/>
              <w:spacing w:line="240" w:lineRule="auto" w:after="20" w:before="20"/>
            </w:pPr>
            <w:r>
              <w:rPr>
                <w:b/>
                <w:bCs/>
                <w:i/>
                <w:iCs/>
                <w:sz w:val="19"/>
              </w:rPr>
              <w:t xml:space="preserve">Aisthesis</w:t>
            </w:r>
            <w:r>
              <w:rPr>
                <w:sz w:val="19"/>
              </w:rPr>
              <w:t xml:space="preserve"> </w:t>
            </w:r>
            <w:r>
              <w:rPr>
                <w:sz w:val="19"/>
              </w:rPr>
              <w:t xml:space="preserve">(PUC Chile). Investigación estética; Scopus, SciELO, DOAJ</w:t>
            </w:r>
          </w:p>
        </w:tc>
        <w:tc>
          <w:tcPr>
            <w:tcW w:type="dxa" w:w="1655"/>
          </w:tcPr>
          <w:p>
            <w:pPr>
              <w:pStyle w:val="Compact"/>
              <w:spacing w:line="240" w:lineRule="auto" w:after="20" w:before="20"/>
            </w:pPr>
            <w:r>
              <w:rPr>
                <w:sz w:val="19"/>
              </w:rPr>
              <w:t xml:space="preserve">Abierta de abril a diciembre</w:t>
            </w:r>
          </w:p>
        </w:tc>
        <w:tc>
          <w:tcPr>
            <w:tcW w:type="dxa" w:w="3172"/>
          </w:tcPr>
          <w:p>
            <w:pPr>
              <w:pStyle w:val="Compact"/>
              <w:spacing w:line="240" w:lineRule="auto" w:after="20" w:before="20"/>
            </w:pPr>
            <w:r>
              <w:rPr>
                <w:sz w:val="19"/>
              </w:rPr>
              <w:t xml:space="preserve">De 6.000 a 12.000 palabras, en español: cabe entero. Imágenes a 300 dpi o más, con pie</w:t>
            </w:r>
          </w:p>
        </w:tc>
        <w:tc>
          <w:tcPr>
            <w:tcW w:type="dxa" w:w="1536"/>
          </w:tcPr>
          <w:p>
            <w:pPr>
              <w:pStyle w:val="Compact"/>
              <w:spacing w:line="240" w:lineRule="auto" w:after="20" w:before="20"/>
            </w:pPr>
            <w:r>
              <w:rPr>
                <w:sz w:val="19"/>
              </w:rPr>
              <w:t xml:space="preserve">Plazo de evaluación: de 12 a 15 meses</w:t>
            </w:r>
          </w:p>
        </w:tc>
      </w:tr>
    </w:tbl>
    <w:p>
      <w:pPr>
        <w:pStyle w:val="BodyText"/>
      </w:pPr>
      <w:r>
        <w:t xml:space="preserve">Quedan como reservas</w:t>
      </w:r>
      <w:r>
        <w:t xml:space="preserve"> </w:t>
      </w:r>
      <w:r>
        <w:rPr>
          <w:i/>
          <w:iCs/>
        </w:rPr>
        <w:t xml:space="preserve">Letras</w:t>
      </w:r>
      <w:r>
        <w:t xml:space="preserve"> </w:t>
      </w:r>
      <w:r>
        <w:t xml:space="preserve">(UNMSM),</w:t>
      </w:r>
      <w:r>
        <w:t xml:space="preserve"> </w:t>
      </w:r>
      <w:r>
        <w:rPr>
          <w:i/>
          <w:iCs/>
        </w:rPr>
        <w:t xml:space="preserve">Diálogo Andino</w:t>
      </w:r>
      <w:r>
        <w:t xml:space="preserve"> </w:t>
      </w:r>
      <w:r>
        <w:t xml:space="preserve">(acepta textos en aymara),</w:t>
      </w:r>
      <w:r>
        <w:t xml:space="preserve"> </w:t>
      </w:r>
      <w:r>
        <w:rPr>
          <w:i/>
          <w:iCs/>
        </w:rPr>
        <w:t xml:space="preserve">Calle 14</w:t>
      </w:r>
      <w:r>
        <w:t xml:space="preserve">,</w:t>
      </w:r>
      <w:r>
        <w:t xml:space="preserve"> </w:t>
      </w:r>
      <w:r>
        <w:rPr>
          <w:i/>
          <w:iCs/>
        </w:rPr>
        <w:t xml:space="preserve">Caiana</w:t>
      </w:r>
      <w:r>
        <w:t xml:space="preserve">, la</w:t>
      </w:r>
      <w:r>
        <w:t xml:space="preserve"> </w:t>
      </w:r>
      <w:r>
        <w:rPr>
          <w:i/>
          <w:iCs/>
        </w:rPr>
        <w:t xml:space="preserve">Latin American Literary Review</w:t>
      </w:r>
      <w:r>
        <w:t xml:space="preserve"> </w:t>
      </w:r>
      <w:r>
        <w:t xml:space="preserve">y</w:t>
      </w:r>
      <w:r>
        <w:t xml:space="preserve"> </w:t>
      </w:r>
      <w:r>
        <w:rPr>
          <w:i/>
          <w:iCs/>
        </w:rPr>
        <w:t xml:space="preserve">Anthropologica</w:t>
      </w:r>
      <w:r>
        <w:t xml:space="preserve">.</w:t>
      </w:r>
    </w:p>
    <w:bookmarkEnd w:id="10"/>
    <w:bookmarkStart w:id="11" w:name="lo-que-pesa-más-que-el-doctorado"/>
    <w:p>
      <w:pPr>
        <w:pStyle w:val="Heading2"/>
      </w:pPr>
      <w:r>
        <w:t xml:space="preserve">Lo que pesa más que el doctorado</w:t>
      </w:r>
    </w:p>
    <w:p>
      <w:pPr>
        <w:pStyle w:val="Compact"/>
        <w:numPr>
          <w:ilvl w:val="0"/>
          <w:numId w:val="1003"/>
        </w:numPr>
      </w:pPr>
      <w:r>
        <w:rPr>
          <w:b/>
          <w:bCs/>
        </w:rPr>
        <w:t xml:space="preserve">Ninguna revista consultada exige doctorado</w:t>
      </w:r>
      <w:r>
        <w:t xml:space="preserve"> </w:t>
      </w:r>
      <w:r>
        <w:t xml:space="preserve">para un artículo individual.</w:t>
      </w:r>
      <w:r>
        <w:t xml:space="preserve"> </w:t>
      </w:r>
      <w:r>
        <w:rPr>
          <w:i/>
          <w:iCs/>
        </w:rPr>
        <w:t xml:space="preserve">Cuadernos de Arte</w:t>
      </w:r>
      <w:r>
        <w:t xml:space="preserve"> </w:t>
      </w:r>
      <w:r>
        <w:t xml:space="preserve">(Universidad de Granada) admite autores «a título personal».</w:t>
      </w:r>
    </w:p>
    <w:p>
      <w:pPr>
        <w:pStyle w:val="Compact"/>
        <w:numPr>
          <w:ilvl w:val="0"/>
          <w:numId w:val="1003"/>
        </w:numPr>
      </w:pPr>
      <w:r>
        <w:rPr>
          <w:b/>
          <w:bCs/>
        </w:rPr>
        <w:t xml:space="preserve">La filiación institucional.</w:t>
      </w:r>
      <w:r>
        <w:t xml:space="preserve"> </w:t>
      </w:r>
      <w:r>
        <w:t xml:space="preserve">Varias la piden en el encabezado. La salida habitual es «Investigador independiente, La Paz (Bolivia)», pero ninguna norma consultada dice si se acepta: conviene preguntarlo por correo antes de enviar.</w:t>
      </w:r>
    </w:p>
    <w:p>
      <w:pPr>
        <w:pStyle w:val="Compact"/>
        <w:numPr>
          <w:ilvl w:val="0"/>
          <w:numId w:val="1003"/>
        </w:numPr>
      </w:pPr>
      <w:r>
        <w:rPr>
          <w:b/>
          <w:bCs/>
        </w:rPr>
        <w:t xml:space="preserve">La política de IA.</w:t>
      </w:r>
      <w:r>
        <w:t xml:space="preserve"> </w:t>
      </w:r>
      <w:r>
        <w:t xml:space="preserve">El artículo declara IA generativa en la redacción de borradores y en el trazado de las ocho figuras. La</w:t>
      </w:r>
      <w:r>
        <w:t xml:space="preserve"> </w:t>
      </w:r>
      <w:r>
        <w:rPr>
          <w:i/>
          <w:iCs/>
        </w:rPr>
        <w:t xml:space="preserve">Revista Hispánica Moderna</w:t>
      </w:r>
      <w:r>
        <w:t xml:space="preserve"> </w:t>
      </w:r>
      <w:r>
        <w:t xml:space="preserve">prohíbe redactar con IA generativa, así que queda descartada con el texto actual. La política de las demás no se pudo leer: hay que revisarla en cada revista.</w:t>
      </w:r>
    </w:p>
    <w:p>
      <w:pPr>
        <w:pStyle w:val="Compact"/>
        <w:numPr>
          <w:ilvl w:val="0"/>
          <w:numId w:val="1003"/>
        </w:numPr>
      </w:pPr>
      <w:r>
        <w:rPr>
          <w:b/>
          <w:bCs/>
        </w:rPr>
        <w:t xml:space="preserve">El ORCID.</w:t>
      </w:r>
      <w:r>
        <w:t xml:space="preserve"> </w:t>
      </w:r>
      <w:r>
        <w:t xml:space="preserve">Lo exigen varias revistas y muchas plataformas al registrarse. Créalo ya: es gratis.</w:t>
      </w:r>
    </w:p>
    <w:p>
      <w:pPr>
        <w:pStyle w:val="Compact"/>
        <w:numPr>
          <w:ilvl w:val="0"/>
          <w:numId w:val="1003"/>
        </w:numPr>
      </w:pPr>
      <w:r>
        <w:rPr>
          <w:b/>
          <w:bCs/>
        </w:rPr>
        <w:t xml:space="preserve">Los cobros.</w:t>
      </w:r>
      <w:r>
        <w:t xml:space="preserve"> </w:t>
      </w:r>
      <w:r>
        <w:t xml:space="preserve">No cobran, según sus webs, el</w:t>
      </w:r>
      <w:r>
        <w:t xml:space="preserve"> </w:t>
      </w:r>
      <w:r>
        <w:rPr>
          <w:i/>
          <w:iCs/>
        </w:rPr>
        <w:t xml:space="preserve">Bolivian Studies Journal</w:t>
      </w:r>
      <w:r>
        <w:t xml:space="preserve">,</w:t>
      </w:r>
      <w:r>
        <w:t xml:space="preserve"> </w:t>
      </w:r>
      <w:r>
        <w:rPr>
          <w:i/>
          <w:iCs/>
        </w:rPr>
        <w:t xml:space="preserve">Kipus</w:t>
      </w:r>
      <w:r>
        <w:t xml:space="preserve">,</w:t>
      </w:r>
      <w:r>
        <w:t xml:space="preserve"> </w:t>
      </w:r>
      <w:r>
        <w:rPr>
          <w:i/>
          <w:iCs/>
        </w:rPr>
        <w:t xml:space="preserve">Alpha</w:t>
      </w:r>
      <w:r>
        <w:t xml:space="preserve">,</w:t>
      </w:r>
      <w:r>
        <w:t xml:space="preserve"> </w:t>
      </w:r>
      <w:r>
        <w:rPr>
          <w:i/>
          <w:iCs/>
        </w:rPr>
        <w:t xml:space="preserve">Diálogo Andino</w:t>
      </w:r>
      <w:r>
        <w:t xml:space="preserve"> </w:t>
      </w:r>
      <w:r>
        <w:t xml:space="preserve">y la</w:t>
      </w:r>
      <w:r>
        <w:t xml:space="preserve"> </w:t>
      </w:r>
      <w:r>
        <w:rPr>
          <w:i/>
          <w:iCs/>
        </w:rPr>
        <w:t xml:space="preserve">Latin American Literary Review</w:t>
      </w:r>
      <w:r>
        <w:t xml:space="preserve">, entre otras. En</w:t>
      </w:r>
      <w:r>
        <w:t xml:space="preserve"> </w:t>
      </w:r>
      <w:r>
        <w:rPr>
          <w:i/>
          <w:iCs/>
        </w:rPr>
        <w:t xml:space="preserve">Atenea</w:t>
      </w:r>
      <w:r>
        <w:t xml:space="preserve">, la RCLL,</w:t>
      </w:r>
      <w:r>
        <w:t xml:space="preserve"> </w:t>
      </w:r>
      <w:r>
        <w:rPr>
          <w:i/>
          <w:iCs/>
        </w:rPr>
        <w:t xml:space="preserve">Estudios Filológicos</w:t>
      </w:r>
      <w:r>
        <w:t xml:space="preserve">,</w:t>
      </w:r>
      <w:r>
        <w:t xml:space="preserve"> </w:t>
      </w:r>
      <w:r>
        <w:rPr>
          <w:i/>
          <w:iCs/>
        </w:rPr>
        <w:t xml:space="preserve">Literatura y Lingüística</w:t>
      </w:r>
      <w:r>
        <w:t xml:space="preserve">,</w:t>
      </w:r>
      <w:r>
        <w:t xml:space="preserve"> </w:t>
      </w:r>
      <w:r>
        <w:rPr>
          <w:i/>
          <w:iCs/>
        </w:rPr>
        <w:t xml:space="preserve">Revista 180</w:t>
      </w:r>
      <w:r>
        <w:t xml:space="preserve"> </w:t>
      </w:r>
      <w:r>
        <w:t xml:space="preserve">y</w:t>
      </w:r>
      <w:r>
        <w:t xml:space="preserve"> </w:t>
      </w:r>
      <w:r>
        <w:rPr>
          <w:i/>
          <w:iCs/>
        </w:rPr>
        <w:t xml:space="preserve">Aisthesis</w:t>
      </w:r>
      <w:r>
        <w:t xml:space="preserve"> </w:t>
      </w:r>
      <w:r>
        <w:t xml:space="preserve">el cobro está sin confirmar.</w:t>
      </w:r>
    </w:p>
    <w:p>
      <w:pPr>
        <w:pStyle w:val="Compact"/>
        <w:numPr>
          <w:ilvl w:val="0"/>
          <w:numId w:val="1003"/>
        </w:numPr>
      </w:pPr>
      <w:r>
        <w:rPr>
          <w:b/>
          <w:bCs/>
        </w:rPr>
        <w:t xml:space="preserve">Una revista por vez.</w:t>
      </w:r>
      <w:r>
        <w:t xml:space="preserve"> </w:t>
      </w:r>
      <w:r>
        <w:t xml:space="preserve">Varias prohíben el envío simultáneo de forma expresa, y es la práctica general.</w:t>
      </w:r>
    </w:p>
    <w:bookmarkEnd w:id="11"/>
    <w:bookmarkStart w:id="12" w:name="cuánto-hay-que-recortar"/>
    <w:p>
      <w:pPr>
        <w:pStyle w:val="Heading2"/>
      </w:pPr>
      <w:r>
        <w:t xml:space="preserve">Cuánto hay que recortar</w:t>
      </w:r>
    </w:p>
    <w:p>
      <w:pPr>
        <w:pStyle w:val="FirstParagraph"/>
      </w:pPr>
      <w:r>
        <w:t xml:space="preserve">El texto final tiene 10.946 palabras y 65.722 caracteres con bibliografía y notas. Las cifras de esta sección son estimaciones a partir de esos totales; hay que medirlas en el Word real.</w:t>
      </w:r>
    </w:p>
    <w:tbl>
      <w:tblPr>
        <w:tblStyle w:val="Table"/>
        <w:tblW w:type="dxa" w:w="940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firstRow="1" w:lastRow="0" w:firstColumn="0" w:lastColumn="0" w:noHBand="0" w:noVBand="0" w:val="0020"/>
      </w:tblPr>
      <w:tblGrid>
        <w:gridCol w:w="2099"/>
        <w:gridCol w:w="7306"/>
      </w:tblGrid>
      <w:tr>
        <w:trPr>
          <w:cantSplit/>
          <w:tblHeader/>
        </w:trPr>
        <w:tc>
          <w:tcPr>
            <w:tcW w:type="dxa" w:w="2099"/>
            <w:shd w:val="clear" w:color="auto" w:fill="EDEDED"/>
          </w:tcPr>
          <w:p>
            <w:pPr>
              <w:pStyle w:val="Compact"/>
              <w:spacing w:line="240" w:lineRule="auto" w:after="20" w:before="20"/>
            </w:pPr>
            <w:r>
              <w:rPr>
                <w:b/>
                <w:sz w:val="19"/>
              </w:rPr>
              <w:t xml:space="preserve">Recorte</w:t>
            </w:r>
          </w:p>
        </w:tc>
        <w:tc>
          <w:tcPr>
            <w:tcW w:type="dxa" w:w="7306"/>
            <w:shd w:val="clear" w:color="auto" w:fill="EDEDED"/>
          </w:tcPr>
          <w:p>
            <w:pPr>
              <w:pStyle w:val="Compact"/>
              <w:spacing w:line="240" w:lineRule="auto" w:after="20" w:before="20"/>
            </w:pPr>
            <w:r>
              <w:rPr>
                <w:b/>
                <w:sz w:val="19"/>
              </w:rPr>
              <w:t xml:space="preserve">Revistas</w:t>
            </w:r>
          </w:p>
        </w:tc>
      </w:tr>
      <w:tr>
        <w:trPr>
          <w:cantSplit/>
        </w:trPr>
        <w:tc>
          <w:tcPr>
            <w:tcW w:type="dxa" w:w="2099"/>
          </w:tcPr>
          <w:p>
            <w:pPr>
              <w:pStyle w:val="Compact"/>
              <w:spacing w:line="240" w:lineRule="auto" w:after="20" w:before="20"/>
            </w:pPr>
            <w:r>
              <w:rPr>
                <w:b/>
                <w:bCs/>
                <w:sz w:val="19"/>
              </w:rPr>
              <w:t xml:space="preserve">Cabe sin cortes</w:t>
            </w:r>
          </w:p>
        </w:tc>
        <w:tc>
          <w:tcPr>
            <w:tcW w:type="dxa" w:w="7306"/>
          </w:tcPr>
          <w:p>
            <w:pPr>
              <w:pStyle w:val="Compact"/>
              <w:spacing w:line="240" w:lineRule="auto" w:after="20" w:before="20"/>
            </w:pPr>
            <w:r>
              <w:rPr>
                <w:i/>
                <w:iCs/>
                <w:sz w:val="19"/>
              </w:rPr>
              <w:t xml:space="preserve">Aisthesis</w:t>
            </w:r>
            <w:r>
              <w:rPr>
                <w:sz w:val="19"/>
              </w:rPr>
              <w:t xml:space="preserve"> </w:t>
            </w:r>
            <w:r>
              <w:rPr>
                <w:sz w:val="19"/>
              </w:rPr>
              <w:t xml:space="preserve">(12.000 palabras),</w:t>
            </w:r>
            <w:r>
              <w:rPr>
                <w:sz w:val="19"/>
              </w:rPr>
              <w:t xml:space="preserve"> </w:t>
            </w:r>
            <w:r>
              <w:rPr>
                <w:i/>
                <w:iCs/>
                <w:sz w:val="19"/>
              </w:rPr>
              <w:t xml:space="preserve">A Contracorriente</w:t>
            </w:r>
            <w:r>
              <w:rPr>
                <w:sz w:val="19"/>
              </w:rPr>
              <w:t xml:space="preserve"> </w:t>
            </w:r>
            <w:r>
              <w:rPr>
                <w:sz w:val="19"/>
              </w:rPr>
              <w:t xml:space="preserve">(12.000),</w:t>
            </w:r>
            <w:r>
              <w:rPr>
                <w:sz w:val="19"/>
              </w:rPr>
              <w:t xml:space="preserve"> </w:t>
            </w:r>
            <w:r>
              <w:rPr>
                <w:i/>
                <w:iCs/>
                <w:sz w:val="19"/>
              </w:rPr>
              <w:t xml:space="preserve">Revista de Literatura</w:t>
            </w:r>
            <w:r>
              <w:rPr>
                <w:sz w:val="19"/>
              </w:rPr>
              <w:t xml:space="preserve"> </w:t>
            </w:r>
            <w:r>
              <w:rPr>
                <w:sz w:val="19"/>
              </w:rPr>
              <w:t xml:space="preserve">del CSIC (11.000, por muy poco),</w:t>
            </w:r>
            <w:r>
              <w:rPr>
                <w:sz w:val="19"/>
              </w:rPr>
              <w:t xml:space="preserve"> </w:t>
            </w:r>
            <w:r>
              <w:rPr>
                <w:i/>
                <w:iCs/>
                <w:sz w:val="19"/>
              </w:rPr>
              <w:t xml:space="preserve">Riva-Agüero</w:t>
            </w:r>
            <w:r>
              <w:rPr>
                <w:sz w:val="19"/>
              </w:rPr>
              <w:t xml:space="preserve"> </w:t>
            </w:r>
            <w:r>
              <w:rPr>
                <w:sz w:val="19"/>
              </w:rPr>
              <w:t xml:space="preserve">(16.000),</w:t>
            </w:r>
            <w:r>
              <w:rPr>
                <w:sz w:val="19"/>
              </w:rPr>
              <w:t xml:space="preserve"> </w:t>
            </w:r>
            <w:r>
              <w:rPr>
                <w:i/>
                <w:iCs/>
                <w:sz w:val="19"/>
              </w:rPr>
              <w:t xml:space="preserve">Revista de Filología y Lingüística</w:t>
            </w:r>
            <w:r>
              <w:rPr>
                <w:sz w:val="19"/>
              </w:rPr>
              <w:t xml:space="preserve"> </w:t>
            </w:r>
            <w:r>
              <w:rPr>
                <w:sz w:val="19"/>
              </w:rPr>
              <w:t xml:space="preserve">(15.000),</w:t>
            </w:r>
            <w:r>
              <w:rPr>
                <w:sz w:val="19"/>
              </w:rPr>
              <w:t xml:space="preserve"> </w:t>
            </w:r>
            <w:r>
              <w:rPr>
                <w:i/>
                <w:iCs/>
                <w:sz w:val="19"/>
              </w:rPr>
              <w:t xml:space="preserve">Yachay</w:t>
            </w:r>
            <w:r>
              <w:rPr>
                <w:sz w:val="19"/>
              </w:rPr>
              <w:t xml:space="preserve"> </w:t>
            </w:r>
            <w:r>
              <w:rPr>
                <w:sz w:val="19"/>
              </w:rPr>
              <w:t xml:space="preserve">e</w:t>
            </w:r>
            <w:r>
              <w:rPr>
                <w:sz w:val="19"/>
              </w:rPr>
              <w:t xml:space="preserve"> </w:t>
            </w:r>
            <w:r>
              <w:rPr>
                <w:i/>
                <w:iCs/>
                <w:sz w:val="19"/>
              </w:rPr>
              <w:t xml:space="preserve">Iberoamericana</w:t>
            </w:r>
            <w:r>
              <w:rPr>
                <w:sz w:val="19"/>
              </w:rPr>
              <w:t xml:space="preserve"> </w:t>
            </w:r>
            <w:r>
              <w:rPr>
                <w:sz w:val="19"/>
              </w:rPr>
              <w:t xml:space="preserve">(70.000 caracteres), el</w:t>
            </w:r>
            <w:r>
              <w:rPr>
                <w:sz w:val="19"/>
              </w:rPr>
              <w:t xml:space="preserve"> </w:t>
            </w:r>
            <w:r>
              <w:rPr>
                <w:i/>
                <w:iCs/>
                <w:sz w:val="19"/>
              </w:rPr>
              <w:t xml:space="preserve">Anuario de Estudios Americanos</w:t>
            </w:r>
            <w:r>
              <w:rPr>
                <w:sz w:val="19"/>
              </w:rPr>
              <w:t xml:space="preserve"> </w:t>
            </w:r>
            <w:r>
              <w:rPr>
                <w:sz w:val="19"/>
              </w:rPr>
              <w:t xml:space="preserve">(9.000 a 13.000) y</w:t>
            </w:r>
            <w:r>
              <w:rPr>
                <w:sz w:val="19"/>
              </w:rPr>
              <w:t xml:space="preserve"> </w:t>
            </w:r>
            <w:r>
              <w:rPr>
                <w:i/>
                <w:iCs/>
                <w:sz w:val="19"/>
              </w:rPr>
              <w:t xml:space="preserve">Procesos</w:t>
            </w:r>
            <w:r>
              <w:rPr>
                <w:sz w:val="19"/>
              </w:rPr>
              <w:t xml:space="preserve">, sección Estudios (10.000 a 12.000)</w:t>
            </w:r>
          </w:p>
        </w:tc>
      </w:tr>
      <w:tr>
        <w:trPr>
          <w:cantSplit/>
        </w:trPr>
        <w:tc>
          <w:tcPr>
            <w:tcW w:type="dxa" w:w="2099"/>
          </w:tcPr>
          <w:p>
            <w:pPr>
              <w:pStyle w:val="Compact"/>
              <w:spacing w:line="240" w:lineRule="auto" w:after="20" w:before="20"/>
            </w:pPr>
            <w:r>
              <w:rPr>
                <w:b/>
                <w:bCs/>
                <w:sz w:val="19"/>
              </w:rPr>
              <w:t xml:space="preserve">Poda leve, hasta un 10 %</w:t>
            </w:r>
          </w:p>
        </w:tc>
        <w:tc>
          <w:tcPr>
            <w:tcW w:type="dxa" w:w="7306"/>
          </w:tcPr>
          <w:p>
            <w:pPr>
              <w:pStyle w:val="Compact"/>
              <w:spacing w:line="240" w:lineRule="auto" w:after="20" w:before="20"/>
            </w:pPr>
            <w:r>
              <w:rPr>
                <w:i/>
                <w:iCs/>
                <w:sz w:val="19"/>
              </w:rPr>
              <w:t xml:space="preserve">Chasqui</w:t>
            </w:r>
            <w:r>
              <w:rPr>
                <w:sz w:val="19"/>
              </w:rPr>
              <w:t xml:space="preserve"> </w:t>
            </w:r>
            <w:r>
              <w:rPr>
                <w:sz w:val="19"/>
              </w:rPr>
              <w:t xml:space="preserve">y la</w:t>
            </w:r>
            <w:r>
              <w:rPr>
                <w:sz w:val="19"/>
              </w:rPr>
              <w:t xml:space="preserve"> </w:t>
            </w:r>
            <w:r>
              <w:rPr>
                <w:i/>
                <w:iCs/>
                <w:sz w:val="19"/>
              </w:rPr>
              <w:t xml:space="preserve">Latin American Literary Review</w:t>
            </w:r>
            <w:r>
              <w:rPr>
                <w:sz w:val="19"/>
              </w:rPr>
              <w:t xml:space="preserve"> </w:t>
            </w:r>
            <w:r>
              <w:rPr>
                <w:sz w:val="19"/>
              </w:rPr>
              <w:t xml:space="preserve">(10.000: unas 950 palabras)</w:t>
            </w:r>
          </w:p>
        </w:tc>
      </w:tr>
      <w:tr>
        <w:trPr>
          <w:cantSplit/>
        </w:trPr>
        <w:tc>
          <w:tcPr>
            <w:tcW w:type="dxa" w:w="2099"/>
          </w:tcPr>
          <w:p>
            <w:pPr>
              <w:pStyle w:val="Compact"/>
              <w:spacing w:line="240" w:lineRule="auto" w:after="20" w:before="20"/>
            </w:pPr>
            <w:r>
              <w:rPr>
                <w:b/>
                <w:bCs/>
                <w:sz w:val="19"/>
              </w:rPr>
              <w:t xml:space="preserve">Recorte moderado, del 10 al 25 %</w:t>
            </w:r>
          </w:p>
        </w:tc>
        <w:tc>
          <w:tcPr>
            <w:tcW w:type="dxa" w:w="7306"/>
          </w:tcPr>
          <w:p>
            <w:pPr>
              <w:pStyle w:val="Compact"/>
              <w:spacing w:line="240" w:lineRule="auto" w:after="20" w:before="20"/>
            </w:pPr>
            <w:r>
              <w:rPr>
                <w:i/>
                <w:iCs/>
                <w:sz w:val="19"/>
              </w:rPr>
              <w:t xml:space="preserve">Kipus</w:t>
            </w:r>
            <w:r>
              <w:rPr>
                <w:sz w:val="19"/>
              </w:rPr>
              <w:t xml:space="preserve"> </w:t>
            </w:r>
            <w:r>
              <w:rPr>
                <w:sz w:val="19"/>
              </w:rPr>
              <w:t xml:space="preserve">(unas 1.450 palabras),</w:t>
            </w:r>
            <w:r>
              <w:rPr>
                <w:sz w:val="19"/>
              </w:rPr>
              <w:t xml:space="preserve"> </w:t>
            </w:r>
            <w:r>
              <w:rPr>
                <w:i/>
                <w:iCs/>
                <w:sz w:val="19"/>
              </w:rPr>
              <w:t xml:space="preserve">Literatura y Lingüística</w:t>
            </w:r>
            <w:r>
              <w:rPr>
                <w:sz w:val="19"/>
              </w:rPr>
              <w:t xml:space="preserve"> </w:t>
            </w:r>
            <w:r>
              <w:rPr>
                <w:sz w:val="19"/>
              </w:rPr>
              <w:t xml:space="preserve">y</w:t>
            </w:r>
            <w:r>
              <w:rPr>
                <w:sz w:val="19"/>
              </w:rPr>
              <w:t xml:space="preserve"> </w:t>
            </w:r>
            <w:r>
              <w:rPr>
                <w:i/>
                <w:iCs/>
                <w:sz w:val="19"/>
              </w:rPr>
              <w:t xml:space="preserve">Estudios Filológicos</w:t>
            </w:r>
            <w:r>
              <w:rPr>
                <w:sz w:val="19"/>
              </w:rPr>
              <w:t xml:space="preserve"> </w:t>
            </w:r>
            <w:r>
              <w:rPr>
                <w:sz w:val="19"/>
              </w:rPr>
              <w:t xml:space="preserve">(unas 1.950),</w:t>
            </w:r>
            <w:r>
              <w:rPr>
                <w:sz w:val="19"/>
              </w:rPr>
              <w:t xml:space="preserve"> </w:t>
            </w:r>
            <w:r>
              <w:rPr>
                <w:i/>
                <w:iCs/>
                <w:sz w:val="19"/>
              </w:rPr>
              <w:t xml:space="preserve">Atenea</w:t>
            </w:r>
            <w:r>
              <w:rPr>
                <w:sz w:val="19"/>
              </w:rPr>
              <w:t xml:space="preserve"> </w:t>
            </w:r>
            <w:r>
              <w:rPr>
                <w:sz w:val="19"/>
              </w:rPr>
              <w:t xml:space="preserve">(unas 2.450)</w:t>
            </w:r>
          </w:p>
        </w:tc>
      </w:tr>
      <w:tr>
        <w:trPr>
          <w:cantSplit/>
        </w:trPr>
        <w:tc>
          <w:tcPr>
            <w:tcW w:type="dxa" w:w="2099"/>
          </w:tcPr>
          <w:p>
            <w:pPr>
              <w:pStyle w:val="Compact"/>
              <w:spacing w:line="240" w:lineRule="auto" w:after="20" w:before="20"/>
            </w:pPr>
            <w:r>
              <w:rPr>
                <w:b/>
                <w:bCs/>
                <w:sz w:val="19"/>
              </w:rPr>
              <w:t xml:space="preserve">Recorte fuerte, del 25 al 45 %</w:t>
            </w:r>
          </w:p>
        </w:tc>
        <w:tc>
          <w:tcPr>
            <w:tcW w:type="dxa" w:w="7306"/>
          </w:tcPr>
          <w:p>
            <w:pPr>
              <w:pStyle w:val="Compact"/>
              <w:spacing w:line="240" w:lineRule="auto" w:after="20" w:before="20"/>
            </w:pPr>
            <w:r>
              <w:rPr>
                <w:i/>
                <w:iCs/>
                <w:sz w:val="19"/>
              </w:rPr>
              <w:t xml:space="preserve">Alpha</w:t>
            </w:r>
            <w:r>
              <w:rPr>
                <w:sz w:val="19"/>
              </w:rPr>
              <w:t xml:space="preserve">, el</w:t>
            </w:r>
            <w:r>
              <w:rPr>
                <w:sz w:val="19"/>
              </w:rPr>
              <w:t xml:space="preserve"> </w:t>
            </w:r>
            <w:r>
              <w:rPr>
                <w:i/>
                <w:iCs/>
                <w:sz w:val="19"/>
              </w:rPr>
              <w:t xml:space="preserve">Bolivian Studies Journal</w:t>
            </w:r>
            <w:r>
              <w:rPr>
                <w:sz w:val="19"/>
              </w:rPr>
              <w:t xml:space="preserve">,</w:t>
            </w:r>
            <w:r>
              <w:rPr>
                <w:sz w:val="19"/>
              </w:rPr>
              <w:t xml:space="preserve"> </w:t>
            </w:r>
            <w:r>
              <w:rPr>
                <w:i/>
                <w:iCs/>
                <w:sz w:val="19"/>
              </w:rPr>
              <w:t xml:space="preserve">Revista 180</w:t>
            </w:r>
            <w:r>
              <w:rPr>
                <w:sz w:val="19"/>
              </w:rPr>
              <w:t xml:space="preserve">,</w:t>
            </w:r>
            <w:r>
              <w:rPr>
                <w:sz w:val="19"/>
              </w:rPr>
              <w:t xml:space="preserve"> </w:t>
            </w:r>
            <w:r>
              <w:rPr>
                <w:i/>
                <w:iCs/>
                <w:sz w:val="19"/>
              </w:rPr>
              <w:t xml:space="preserve">Calle 14</w:t>
            </w:r>
          </w:p>
        </w:tc>
      </w:tr>
      <w:tr>
        <w:trPr>
          <w:cantSplit/>
        </w:trPr>
        <w:tc>
          <w:tcPr>
            <w:tcW w:type="dxa" w:w="2099"/>
          </w:tcPr>
          <w:p>
            <w:pPr>
              <w:pStyle w:val="Compact"/>
              <w:spacing w:line="240" w:lineRule="auto" w:after="20" w:before="20"/>
            </w:pPr>
            <w:r>
              <w:rPr>
                <w:b/>
                <w:bCs/>
                <w:sz w:val="19"/>
              </w:rPr>
              <w:t xml:space="preserve">Más del 45 %: otra versión</w:t>
            </w:r>
          </w:p>
        </w:tc>
        <w:tc>
          <w:tcPr>
            <w:tcW w:type="dxa" w:w="7306"/>
          </w:tcPr>
          <w:p>
            <w:pPr>
              <w:pStyle w:val="Compact"/>
              <w:spacing w:line="240" w:lineRule="auto" w:after="20" w:before="20"/>
            </w:pPr>
            <w:r>
              <w:rPr>
                <w:i/>
                <w:iCs/>
                <w:sz w:val="19"/>
              </w:rPr>
              <w:t xml:space="preserve">452ºF</w:t>
            </w:r>
            <w:r>
              <w:rPr>
                <w:sz w:val="19"/>
              </w:rPr>
              <w:t xml:space="preserve">,</w:t>
            </w:r>
            <w:r>
              <w:rPr>
                <w:sz w:val="19"/>
              </w:rPr>
              <w:t xml:space="preserve"> </w:t>
            </w:r>
            <w:r>
              <w:rPr>
                <w:i/>
                <w:iCs/>
                <w:sz w:val="19"/>
              </w:rPr>
              <w:t xml:space="preserve">EGA</w:t>
            </w:r>
            <w:r>
              <w:rPr>
                <w:sz w:val="19"/>
              </w:rPr>
              <w:t xml:space="preserve">,</w:t>
            </w:r>
            <w:r>
              <w:rPr>
                <w:sz w:val="19"/>
              </w:rPr>
              <w:t xml:space="preserve"> </w:t>
            </w:r>
            <w:r>
              <w:rPr>
                <w:i/>
                <w:iCs/>
                <w:sz w:val="19"/>
              </w:rPr>
              <w:t xml:space="preserve">VLC</w:t>
            </w:r>
            <w:r>
              <w:rPr>
                <w:sz w:val="19"/>
              </w:rPr>
              <w:t xml:space="preserve"> </w:t>
            </w:r>
            <w:r>
              <w:rPr>
                <w:sz w:val="19"/>
              </w:rPr>
              <w:t xml:space="preserve">y otras revistas de arquitectura con textos muy cortos</w:t>
            </w:r>
          </w:p>
        </w:tc>
      </w:tr>
    </w:tbl>
    <w:p>
      <w:pPr>
        <w:pStyle w:val="BodyText"/>
      </w:pPr>
      <w:r>
        <w:rPr>
          <w:b/>
          <w:bCs/>
        </w:rPr>
        <w:t xml:space="preserve">Dónde recortar.</w:t>
      </w:r>
      <w:r>
        <w:t xml:space="preserve"> </w:t>
      </w:r>
      <w:r>
        <w:t xml:space="preserve">La palanca principal son los pies de figura analíticos y el Cuadro 1, unas 1.850 palabras: casi una quinta parte del texto. Se pueden acortar o pasar parte de su análisis al texto sin tocar el argumento. Las cinco imágenes, con sus frases, sus pies y la nota, suman unas 680 palabras: se pueden quitar enteras o dejar las que más pesen. Después vienen los cruces más alejados de la novela y los pasajes de trama que no llevan cita.</w:t>
      </w:r>
    </w:p>
    <w:bookmarkEnd w:id="12"/>
    <w:bookmarkStart w:id="13" w:name="formato"/>
    <w:p>
      <w:pPr>
        <w:pStyle w:val="Heading2"/>
      </w:pPr>
      <w:r>
        <w:t xml:space="preserve">Formato</w:t>
      </w:r>
    </w:p>
    <w:p>
      <w:pPr>
        <w:pStyle w:val="Compact"/>
        <w:numPr>
          <w:ilvl w:val="0"/>
          <w:numId w:val="1004"/>
        </w:numPr>
      </w:pPr>
      <w:r>
        <w:rPr>
          <w:b/>
          <w:bCs/>
        </w:rPr>
        <w:t xml:space="preserve">Citas.</w:t>
      </w:r>
      <w:r>
        <w:t xml:space="preserve"> </w:t>
      </w:r>
      <w:r>
        <w:t xml:space="preserve">MLA para las revistas de Estados Unidos y para</w:t>
      </w:r>
      <w:r>
        <w:t xml:space="preserve"> </w:t>
      </w:r>
      <w:r>
        <w:rPr>
          <w:i/>
          <w:iCs/>
        </w:rPr>
        <w:t xml:space="preserve">Estudios Filológicos</w:t>
      </w:r>
      <w:r>
        <w:t xml:space="preserve">; APA 7 para</w:t>
      </w:r>
      <w:r>
        <w:t xml:space="preserve"> </w:t>
      </w:r>
      <w:r>
        <w:rPr>
          <w:i/>
          <w:iCs/>
        </w:rPr>
        <w:t xml:space="preserve">Literatura y Lingüística</w:t>
      </w:r>
      <w:r>
        <w:t xml:space="preserve">,</w:t>
      </w:r>
      <w:r>
        <w:t xml:space="preserve"> </w:t>
      </w:r>
      <w:r>
        <w:rPr>
          <w:i/>
          <w:iCs/>
        </w:rPr>
        <w:t xml:space="preserve">Alpha</w:t>
      </w:r>
      <w:r>
        <w:t xml:space="preserve"> </w:t>
      </w:r>
      <w:r>
        <w:t xml:space="preserve">y</w:t>
      </w:r>
      <w:r>
        <w:t xml:space="preserve"> </w:t>
      </w:r>
      <w:r>
        <w:rPr>
          <w:i/>
          <w:iCs/>
        </w:rPr>
        <w:t xml:space="preserve">Letras</w:t>
      </w:r>
      <w:r>
        <w:t xml:space="preserve">; Chicago para</w:t>
      </w:r>
      <w:r>
        <w:t xml:space="preserve"> </w:t>
      </w:r>
      <w:r>
        <w:rPr>
          <w:i/>
          <w:iCs/>
        </w:rPr>
        <w:t xml:space="preserve">Procesos</w:t>
      </w:r>
      <w:r>
        <w:t xml:space="preserve"> </w:t>
      </w:r>
      <w:r>
        <w:t xml:space="preserve">y las españolas del CSIC.</w:t>
      </w:r>
    </w:p>
    <w:p>
      <w:pPr>
        <w:pStyle w:val="Compact"/>
        <w:numPr>
          <w:ilvl w:val="0"/>
          <w:numId w:val="1004"/>
        </w:numPr>
      </w:pPr>
      <w:r>
        <w:rPr>
          <w:b/>
          <w:bCs/>
        </w:rPr>
        <w:t xml:space="preserve">Resúmenes.</w:t>
      </w:r>
      <w:r>
        <w:t xml:space="preserve"> </w:t>
      </w:r>
      <w:r>
        <w:t xml:space="preserve">Hasta 180 palabras en</w:t>
      </w:r>
      <w:r>
        <w:t xml:space="preserve"> </w:t>
      </w:r>
      <w:r>
        <w:rPr>
          <w:i/>
          <w:iCs/>
        </w:rPr>
        <w:t xml:space="preserve">Atenea</w:t>
      </w:r>
      <w:r>
        <w:t xml:space="preserve"> </w:t>
      </w:r>
      <w:r>
        <w:t xml:space="preserve">y 150 en</w:t>
      </w:r>
      <w:r>
        <w:t xml:space="preserve"> </w:t>
      </w:r>
      <w:r>
        <w:rPr>
          <w:i/>
          <w:iCs/>
        </w:rPr>
        <w:t xml:space="preserve">Estudios Filológicos</w:t>
      </w:r>
      <w:r>
        <w:t xml:space="preserve">. El de hoy tiene 99: cabe en ambas.</w:t>
      </w:r>
    </w:p>
    <w:p>
      <w:pPr>
        <w:pStyle w:val="Compact"/>
        <w:numPr>
          <w:ilvl w:val="0"/>
          <w:numId w:val="1004"/>
        </w:numPr>
      </w:pPr>
      <w:r>
        <w:rPr>
          <w:b/>
          <w:bCs/>
        </w:rPr>
        <w:t xml:space="preserve">Figuras.</w:t>
      </w:r>
      <w:r>
        <w:t xml:space="preserve"> </w:t>
      </w:r>
      <w:r>
        <w:rPr>
          <w:i/>
          <w:iCs/>
        </w:rPr>
        <w:t xml:space="preserve">Atenea</w:t>
      </w:r>
      <w:r>
        <w:t xml:space="preserve">,</w:t>
      </w:r>
      <w:r>
        <w:t xml:space="preserve"> </w:t>
      </w:r>
      <w:r>
        <w:rPr>
          <w:i/>
          <w:iCs/>
        </w:rPr>
        <w:t xml:space="preserve">Aisthesis</w:t>
      </w:r>
      <w:r>
        <w:t xml:space="preserve">,</w:t>
      </w:r>
      <w:r>
        <w:t xml:space="preserve"> </w:t>
      </w:r>
      <w:r>
        <w:rPr>
          <w:i/>
          <w:iCs/>
        </w:rPr>
        <w:t xml:space="preserve">Diálogo Andino</w:t>
      </w:r>
      <w:r>
        <w:t xml:space="preserve"> </w:t>
      </w:r>
      <w:r>
        <w:t xml:space="preserve">y otras las piden aparte y en alta resolución, lo que favorece a un artículo tan ilustrado.</w:t>
      </w:r>
      <w:r>
        <w:t xml:space="preserve"> </w:t>
      </w:r>
      <w:r>
        <w:rPr>
          <w:i/>
          <w:iCs/>
        </w:rPr>
        <w:t xml:space="preserve">Alpha</w:t>
      </w:r>
      <w:r>
        <w:t xml:space="preserve"> </w:t>
      </w:r>
      <w:r>
        <w:t xml:space="preserve">y</w:t>
      </w:r>
      <w:r>
        <w:t xml:space="preserve"> </w:t>
      </w:r>
      <w:r>
        <w:rPr>
          <w:i/>
          <w:iCs/>
        </w:rPr>
        <w:t xml:space="preserve">Literatura y Lingüística</w:t>
      </w:r>
      <w:r>
        <w:t xml:space="preserve">, en cambio, las cuentan dentro del límite. Las figuras son obra propia y las cinco imágenes son de dominio público, así que no hace falta pedir permisos a terceros; las imágenes llevan en su pie la institución que las guarda. Las tres de Guaman Poma necesitan alta resolución (lista de envío, paso 5). Las figuras, además, están declaradas como «elaboración propia con asistencia de IA»: comprueba que eso sea compatible con la política de la revista.</w:t>
      </w:r>
    </w:p>
    <w:bookmarkEnd w:id="13"/>
    <w:bookmarkStart w:id="14" w:name="antes-de-enviar-a-atenea"/>
    <w:p>
      <w:pPr>
        <w:pStyle w:val="Heading2"/>
      </w:pPr>
      <w:r>
        <w:t xml:space="preserve">Antes de enviar a</w:t>
      </w:r>
      <w:r>
        <w:t xml:space="preserve"> </w:t>
      </w:r>
      <w:r>
        <w:rPr>
          <w:i/>
          <w:iCs/>
        </w:rPr>
        <w:t xml:space="preserve">Atenea</w:t>
      </w:r>
    </w:p>
    <w:p>
      <w:pPr>
        <w:pStyle w:val="Compact"/>
        <w:numPr>
          <w:ilvl w:val="0"/>
          <w:numId w:val="1005"/>
        </w:numPr>
      </w:pPr>
      <w:r>
        <w:t xml:space="preserve">Abre las páginas oficiales de</w:t>
      </w:r>
      <w:r>
        <w:t xml:space="preserve"> </w:t>
      </w:r>
      <w:r>
        <w:rPr>
          <w:i/>
          <w:iCs/>
        </w:rPr>
        <w:t xml:space="preserve">Atenea</w:t>
      </w:r>
      <w:r>
        <w:t xml:space="preserve">, la RCLL,</w:t>
      </w:r>
      <w:r>
        <w:t xml:space="preserve"> </w:t>
      </w:r>
      <w:r>
        <w:rPr>
          <w:i/>
          <w:iCs/>
        </w:rPr>
        <w:t xml:space="preserve">Literatura y Lingüística</w:t>
      </w:r>
      <w:r>
        <w:t xml:space="preserve">, el</w:t>
      </w:r>
      <w:r>
        <w:t xml:space="preserve"> </w:t>
      </w:r>
      <w:r>
        <w:rPr>
          <w:i/>
          <w:iCs/>
        </w:rPr>
        <w:t xml:space="preserve">Bolivian Studies Journal</w:t>
      </w:r>
      <w:r>
        <w:t xml:space="preserve"> </w:t>
      </w:r>
      <w:r>
        <w:t xml:space="preserve">y</w:t>
      </w:r>
      <w:r>
        <w:t xml:space="preserve"> </w:t>
      </w:r>
      <w:r>
        <w:rPr>
          <w:i/>
          <w:iCs/>
        </w:rPr>
        <w:t xml:space="preserve">Kipus</w:t>
      </w:r>
      <w:r>
        <w:t xml:space="preserve">. Confirma en cada una si recibe artículos, la extensión, el trato de las figuras, los cobros y la política de IA.</w:t>
      </w:r>
    </w:p>
    <w:p>
      <w:pPr>
        <w:pStyle w:val="Compact"/>
        <w:numPr>
          <w:ilvl w:val="0"/>
          <w:numId w:val="1005"/>
        </w:numPr>
      </w:pPr>
      <w:r>
        <w:t xml:space="preserve">Crea el ORCID y decide la línea de filiación.</w:t>
      </w:r>
    </w:p>
    <w:p>
      <w:pPr>
        <w:pStyle w:val="Compact"/>
        <w:numPr>
          <w:ilvl w:val="0"/>
          <w:numId w:val="1005"/>
        </w:numPr>
      </w:pPr>
      <w:r>
        <w:t xml:space="preserve">Haz las consultas por correo que convengan. No son envíos, así que no chocan con la regla de una revista por vez:</w:t>
      </w:r>
    </w:p>
    <w:p>
      <w:pPr>
        <w:pStyle w:val="Compact"/>
        <w:numPr>
          <w:ilvl w:val="1"/>
          <w:numId w:val="1006"/>
        </w:numPr>
      </w:pPr>
      <w:r>
        <w:t xml:space="preserve">a la RCLL (rclldirector.flch@unmsm.edu.pe): extensión, figuras y color, y si el n.º 105 sigue abierto;</w:t>
      </w:r>
    </w:p>
    <w:p>
      <w:pPr>
        <w:pStyle w:val="Compact"/>
        <w:numPr>
          <w:ilvl w:val="1"/>
          <w:numId w:val="1006"/>
        </w:numPr>
      </w:pPr>
      <w:r>
        <w:t xml:space="preserve">al</w:t>
      </w:r>
      <w:r>
        <w:t xml:space="preserve"> </w:t>
      </w:r>
      <w:r>
        <w:rPr>
          <w:i/>
          <w:iCs/>
        </w:rPr>
        <w:t xml:space="preserve">Bolivian Studies Journal</w:t>
      </w:r>
      <w:r>
        <w:t xml:space="preserve"> </w:t>
      </w:r>
      <w:r>
        <w:t xml:space="preserve">(bsj@mail.pitt.edu): si reciben para 2027 y si aceptan unas 10.900 palabras o prefieren una versión de unas 7.000;</w:t>
      </w:r>
    </w:p>
    <w:p>
      <w:pPr>
        <w:pStyle w:val="Compact"/>
        <w:numPr>
          <w:ilvl w:val="1"/>
          <w:numId w:val="1006"/>
        </w:numPr>
      </w:pPr>
      <w:r>
        <w:t xml:space="preserve">a</w:t>
      </w:r>
      <w:r>
        <w:t xml:space="preserve"> </w:t>
      </w:r>
      <w:r>
        <w:rPr>
          <w:i/>
          <w:iCs/>
        </w:rPr>
        <w:t xml:space="preserve">Kipus</w:t>
      </w:r>
      <w:r>
        <w:t xml:space="preserve">: el plazo de su convocatoria y si la sección Crítica está abierta;</w:t>
      </w:r>
    </w:p>
    <w:p>
      <w:pPr>
        <w:pStyle w:val="Compact"/>
        <w:numPr>
          <w:ilvl w:val="1"/>
          <w:numId w:val="1006"/>
        </w:numPr>
      </w:pPr>
      <w:r>
        <w:t xml:space="preserve">a</w:t>
      </w:r>
      <w:r>
        <w:t xml:space="preserve"> </w:t>
      </w:r>
      <w:r>
        <w:rPr>
          <w:i/>
          <w:iCs/>
        </w:rPr>
        <w:t xml:space="preserve">Diálogo Andino</w:t>
      </w:r>
      <w:r>
        <w:t xml:space="preserve"> </w:t>
      </w:r>
      <w:r>
        <w:t xml:space="preserve">(albertodiaz@academicos.uta.cl): si hay recepción abierta.</w:t>
      </w:r>
    </w:p>
    <w:p>
      <w:pPr>
        <w:pStyle w:val="Compact"/>
        <w:numPr>
          <w:ilvl w:val="0"/>
          <w:numId w:val="1005"/>
        </w:numPr>
      </w:pPr>
      <w:r>
        <w:t xml:space="preserve">Prepara la versión para</w:t>
      </w:r>
      <w:r>
        <w:t xml:space="preserve"> </w:t>
      </w:r>
      <w:r>
        <w:rPr>
          <w:i/>
          <w:iCs/>
        </w:rPr>
        <w:t xml:space="preserve">Atenea</w:t>
      </w:r>
      <w:r>
        <w:t xml:space="preserve">:</w:t>
      </w:r>
    </w:p>
    <w:p>
      <w:pPr>
        <w:pStyle w:val="Compact"/>
        <w:numPr>
          <w:ilvl w:val="1"/>
          <w:numId w:val="1007"/>
        </w:numPr>
      </w:pPr>
      <w:r>
        <w:t xml:space="preserve">que cuerpo, bibliografía, resumen y palabras clave sumen 8.500 palabras o menos;</w:t>
      </w:r>
    </w:p>
    <w:p>
      <w:pPr>
        <w:pStyle w:val="Compact"/>
        <w:numPr>
          <w:ilvl w:val="1"/>
          <w:numId w:val="1007"/>
        </w:numPr>
      </w:pPr>
      <w:r>
        <w:t xml:space="preserve">resumen de hasta 180 palabras, con 3 a 5 palabras clave;</w:t>
      </w:r>
    </w:p>
    <w:p>
      <w:pPr>
        <w:pStyle w:val="Compact"/>
        <w:numPr>
          <w:ilvl w:val="1"/>
          <w:numId w:val="1007"/>
        </w:numPr>
      </w:pPr>
      <w:r>
        <w:t xml:space="preserve">tamaño carta a doble espacio;</w:t>
      </w:r>
    </w:p>
    <w:p>
      <w:pPr>
        <w:pStyle w:val="Compact"/>
        <w:numPr>
          <w:ilvl w:val="1"/>
          <w:numId w:val="1007"/>
        </w:numPr>
      </w:pPr>
      <w:r>
        <w:t xml:space="preserve">las ocho figuras y las cinco imágenes aparte, en JPG o TIF a 300 ppp o más y con 12 cm de ancho como mínimo, con su pie y su fuente;</w:t>
      </w:r>
    </w:p>
    <w:p>
      <w:pPr>
        <w:pStyle w:val="Compact"/>
        <w:numPr>
          <w:ilvl w:val="1"/>
          <w:numId w:val="1007"/>
        </w:numPr>
      </w:pPr>
      <w:r>
        <w:t xml:space="preserve">la declaración de IA y la nota de autor revisadas.</w:t>
      </w:r>
    </w:p>
    <w:p>
      <w:pPr>
        <w:pStyle w:val="Compact"/>
        <w:numPr>
          <w:ilvl w:val="0"/>
          <w:numId w:val="1005"/>
        </w:numPr>
      </w:pPr>
      <w:r>
        <w:t xml:space="preserve">Envía solo si las comprobaciones confirmaron los datos, y anota la fecha.</w:t>
      </w:r>
    </w:p>
    <w:bookmarkEnd w:id="14"/>
    <w:bookmarkStart w:id="15" w:name="si-el-primer-intento-se-cierra-pronto"/>
    <w:p>
      <w:pPr>
        <w:pStyle w:val="Heading2"/>
      </w:pPr>
      <w:r>
        <w:t xml:space="preserve">Si el primer intento se cierra pronto</w:t>
      </w:r>
    </w:p>
    <w:p>
      <w:pPr>
        <w:pStyle w:val="FirstParagraph"/>
      </w:pPr>
      <w:r>
        <w:t xml:space="preserve">Estas convocatorias con fecha seguían abiertas al 10 de octubre. Sirven solo si el texto no está en evaluación en otra revista.</w:t>
      </w:r>
    </w:p>
    <w:tbl>
      <w:tblPr>
        <w:tblStyle w:val="Table"/>
        <w:tblW w:type="dxa" w:w="940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left w:w="80" w:type="dxa"/>
          <w:bottom w:w="40" w:type="dxa"/>
          <w:right w:w="80" w:type="dxa"/>
        </w:tblCellMar>
        <w:tblLook w:firstRow="1" w:lastRow="0" w:firstColumn="0" w:lastColumn="0" w:noHBand="0" w:noVBand="0" w:val="0020"/>
      </w:tblPr>
      <w:tblGrid>
        <w:gridCol w:w="2244"/>
        <w:gridCol w:w="3576"/>
        <w:gridCol w:w="3585"/>
      </w:tblGrid>
      <w:tr>
        <w:trPr>
          <w:cantSplit/>
          <w:tblHeader/>
        </w:trPr>
        <w:tc>
          <w:tcPr>
            <w:tcW w:type="dxa" w:w="2244"/>
            <w:shd w:val="clear" w:color="auto" w:fill="EDEDED"/>
          </w:tcPr>
          <w:p>
            <w:pPr>
              <w:pStyle w:val="Compact"/>
              <w:spacing w:line="240" w:lineRule="auto" w:after="20" w:before="20"/>
            </w:pPr>
            <w:r>
              <w:rPr>
                <w:b/>
                <w:sz w:val="19"/>
              </w:rPr>
              <w:t xml:space="preserve">Fecha</w:t>
            </w:r>
          </w:p>
        </w:tc>
        <w:tc>
          <w:tcPr>
            <w:tcW w:type="dxa" w:w="3576"/>
            <w:shd w:val="clear" w:color="auto" w:fill="EDEDED"/>
          </w:tcPr>
          <w:p>
            <w:pPr>
              <w:pStyle w:val="Compact"/>
              <w:spacing w:line="240" w:lineRule="auto" w:after="20" w:before="20"/>
            </w:pPr>
            <w:r>
              <w:rPr>
                <w:b/>
                <w:sz w:val="19"/>
              </w:rPr>
              <w:t xml:space="preserve">Convocatoria</w:t>
            </w:r>
          </w:p>
        </w:tc>
        <w:tc>
          <w:tcPr>
            <w:tcW w:type="dxa" w:w="3585"/>
            <w:shd w:val="clear" w:color="auto" w:fill="EDEDED"/>
          </w:tcPr>
          <w:p>
            <w:pPr>
              <w:pStyle w:val="Compact"/>
              <w:spacing w:line="240" w:lineRule="auto" w:after="20" w:before="20"/>
            </w:pPr>
            <w:r>
              <w:rPr>
                <w:b/>
                <w:sz w:val="19"/>
              </w:rPr>
              <w:t xml:space="preserve">Uso posible</w:t>
            </w:r>
          </w:p>
        </w:tc>
      </w:tr>
      <w:tr>
        <w:trPr>
          <w:cantSplit/>
        </w:trPr>
        <w:tc>
          <w:tcPr>
            <w:tcW w:type="dxa" w:w="2244"/>
          </w:tcPr>
          <w:p>
            <w:pPr>
              <w:pStyle w:val="Compact"/>
              <w:spacing w:line="240" w:lineRule="auto" w:after="20" w:before="20"/>
            </w:pPr>
            <w:r>
              <w:rPr>
                <w:sz w:val="19"/>
              </w:rPr>
              <w:t xml:space="preserve">31 de octubre de 2026 (fecha práctica)</w:t>
            </w:r>
          </w:p>
        </w:tc>
        <w:tc>
          <w:tcPr>
            <w:tcW w:type="dxa" w:w="3576"/>
          </w:tcPr>
          <w:p>
            <w:pPr>
              <w:pStyle w:val="Compact"/>
              <w:spacing w:line="240" w:lineRule="auto" w:after="20" w:before="20"/>
            </w:pPr>
            <w:r>
              <w:rPr>
                <w:i/>
                <w:iCs/>
                <w:sz w:val="19"/>
              </w:rPr>
              <w:t xml:space="preserve">Alpha</w:t>
            </w:r>
            <w:r>
              <w:rPr>
                <w:sz w:val="19"/>
              </w:rPr>
              <w:t xml:space="preserve">;</w:t>
            </w:r>
            <w:r>
              <w:rPr>
                <w:sz w:val="19"/>
              </w:rPr>
              <w:t xml:space="preserve"> </w:t>
            </w:r>
            <w:r>
              <w:rPr>
                <w:i/>
                <w:iCs/>
                <w:sz w:val="19"/>
              </w:rPr>
              <w:t xml:space="preserve">Cuadernos FHyCS</w:t>
            </w:r>
            <w:r>
              <w:rPr>
                <w:sz w:val="19"/>
              </w:rPr>
              <w:t xml:space="preserve"> </w:t>
            </w:r>
            <w:r>
              <w:rPr>
                <w:sz w:val="19"/>
              </w:rPr>
              <w:t xml:space="preserve">(ambas cierran «en noviembre»)</w:t>
            </w:r>
          </w:p>
        </w:tc>
        <w:tc>
          <w:tcPr>
            <w:tcW w:type="dxa" w:w="3585"/>
          </w:tcPr>
          <w:p>
            <w:pPr>
              <w:pStyle w:val="Compact"/>
              <w:spacing w:line="240" w:lineRule="auto" w:after="20" w:before="20"/>
            </w:pPr>
            <w:r>
              <w:rPr>
                <w:sz w:val="19"/>
              </w:rPr>
              <w:t xml:space="preserve">Versión literaria con 3 o 4 figuras</w:t>
            </w:r>
          </w:p>
        </w:tc>
      </w:tr>
      <w:tr>
        <w:trPr>
          <w:cantSplit/>
        </w:trPr>
        <w:tc>
          <w:tcPr>
            <w:tcW w:type="dxa" w:w="2244"/>
          </w:tcPr>
          <w:p>
            <w:pPr>
              <w:pStyle w:val="Compact"/>
              <w:spacing w:line="240" w:lineRule="auto" w:after="20" w:before="20"/>
            </w:pPr>
            <w:r>
              <w:rPr>
                <w:sz w:val="19"/>
              </w:rPr>
              <w:t xml:space="preserve">9 de noviembre de 2026</w:t>
            </w:r>
          </w:p>
        </w:tc>
        <w:tc>
          <w:tcPr>
            <w:tcW w:type="dxa" w:w="3576"/>
          </w:tcPr>
          <w:p>
            <w:pPr>
              <w:pStyle w:val="Compact"/>
              <w:spacing w:line="240" w:lineRule="auto" w:after="20" w:before="20"/>
            </w:pPr>
            <w:r>
              <w:rPr>
                <w:i/>
                <w:iCs/>
                <w:sz w:val="19"/>
              </w:rPr>
              <w:t xml:space="preserve">¬Accesos</w:t>
            </w:r>
            <w:r>
              <w:rPr>
                <w:sz w:val="19"/>
              </w:rPr>
              <w:t xml:space="preserve"> </w:t>
            </w:r>
            <w:r>
              <w:rPr>
                <w:sz w:val="19"/>
              </w:rPr>
              <w:t xml:space="preserve">n.º 9 (por confirmar)</w:t>
            </w:r>
          </w:p>
        </w:tc>
        <w:tc>
          <w:tcPr>
            <w:tcW w:type="dxa" w:w="3585"/>
          </w:tcPr>
          <w:p>
            <w:pPr>
              <w:pStyle w:val="Compact"/>
              <w:spacing w:line="240" w:lineRule="auto" w:after="20" w:before="20"/>
            </w:pPr>
            <w:r>
              <w:rPr>
                <w:sz w:val="19"/>
              </w:rPr>
              <w:t xml:space="preserve">Versión sobre la mano, el papel y la máquina</w:t>
            </w:r>
          </w:p>
        </w:tc>
      </w:tr>
      <w:tr>
        <w:trPr>
          <w:cantSplit/>
        </w:trPr>
        <w:tc>
          <w:tcPr>
            <w:tcW w:type="dxa" w:w="2244"/>
          </w:tcPr>
          <w:p>
            <w:pPr>
              <w:pStyle w:val="Compact"/>
              <w:spacing w:line="240" w:lineRule="auto" w:after="20" w:before="20"/>
            </w:pPr>
            <w:r>
              <w:rPr>
                <w:sz w:val="19"/>
              </w:rPr>
              <w:t xml:space="preserve">15 de noviembre de 2026</w:t>
            </w:r>
          </w:p>
        </w:tc>
        <w:tc>
          <w:tcPr>
            <w:tcW w:type="dxa" w:w="3576"/>
          </w:tcPr>
          <w:p>
            <w:pPr>
              <w:pStyle w:val="Compact"/>
              <w:spacing w:line="240" w:lineRule="auto" w:after="20" w:before="20"/>
            </w:pPr>
            <w:r>
              <w:rPr>
                <w:i/>
                <w:iCs/>
                <w:sz w:val="19"/>
              </w:rPr>
              <w:t xml:space="preserve">VLC arquitectura</w:t>
            </w:r>
            <w:r>
              <w:rPr>
                <w:sz w:val="19"/>
              </w:rPr>
              <w:t xml:space="preserve"> </w:t>
            </w:r>
            <w:r>
              <w:rPr>
                <w:sz w:val="19"/>
              </w:rPr>
              <w:t xml:space="preserve">(número de abril de 2027)</w:t>
            </w:r>
          </w:p>
        </w:tc>
        <w:tc>
          <w:tcPr>
            <w:tcW w:type="dxa" w:w="3585"/>
          </w:tcPr>
          <w:p>
            <w:pPr>
              <w:pStyle w:val="Compact"/>
              <w:spacing w:line="240" w:lineRule="auto" w:after="20" w:before="20"/>
            </w:pPr>
            <w:r>
              <w:rPr>
                <w:sz w:val="19"/>
              </w:rPr>
              <w:t xml:space="preserve">Versión arquitectónica muy corta</w:t>
            </w:r>
          </w:p>
        </w:tc>
      </w:tr>
      <w:tr>
        <w:trPr>
          <w:cantSplit/>
        </w:trPr>
        <w:tc>
          <w:tcPr>
            <w:tcW w:type="dxa" w:w="2244"/>
          </w:tcPr>
          <w:p>
            <w:pPr>
              <w:pStyle w:val="Compact"/>
              <w:spacing w:line="240" w:lineRule="auto" w:after="20" w:before="20"/>
            </w:pPr>
            <w:r>
              <w:rPr>
                <w:sz w:val="19"/>
              </w:rPr>
              <w:t xml:space="preserve">22 de noviembre de 2026</w:t>
            </w:r>
          </w:p>
        </w:tc>
        <w:tc>
          <w:tcPr>
            <w:tcW w:type="dxa" w:w="3576"/>
          </w:tcPr>
          <w:p>
            <w:pPr>
              <w:pStyle w:val="Compact"/>
              <w:spacing w:line="240" w:lineRule="auto" w:after="20" w:before="20"/>
            </w:pPr>
            <w:r>
              <w:rPr>
                <w:i/>
                <w:iCs/>
                <w:sz w:val="19"/>
              </w:rPr>
              <w:t xml:space="preserve">Dearq</w:t>
            </w:r>
            <w:r>
              <w:rPr>
                <w:sz w:val="19"/>
              </w:rPr>
              <w:t xml:space="preserve"> </w:t>
            </w:r>
            <w:r>
              <w:rPr>
                <w:sz w:val="19"/>
              </w:rPr>
              <w:t xml:space="preserve">n.º 50</w:t>
            </w:r>
          </w:p>
        </w:tc>
        <w:tc>
          <w:tcPr>
            <w:tcW w:type="dxa" w:w="3585"/>
          </w:tcPr>
          <w:p>
            <w:pPr>
              <w:pStyle w:val="Compact"/>
              <w:spacing w:line="240" w:lineRule="auto" w:after="20" w:before="20"/>
            </w:pPr>
            <w:r>
              <w:rPr>
                <w:sz w:val="19"/>
              </w:rPr>
              <w:t xml:space="preserve">Versión arquitectónica: escala, tiempo y recursos</w:t>
            </w:r>
          </w:p>
        </w:tc>
      </w:tr>
      <w:tr>
        <w:trPr>
          <w:cantSplit/>
        </w:trPr>
        <w:tc>
          <w:tcPr>
            <w:tcW w:type="dxa" w:w="2244"/>
          </w:tcPr>
          <w:p>
            <w:pPr>
              <w:pStyle w:val="Compact"/>
              <w:spacing w:line="240" w:lineRule="auto" w:after="20" w:before="20"/>
            </w:pPr>
            <w:r>
              <w:rPr>
                <w:sz w:val="19"/>
              </w:rPr>
              <w:t xml:space="preserve">30 de noviembre de 2026</w:t>
            </w:r>
          </w:p>
        </w:tc>
        <w:tc>
          <w:tcPr>
            <w:tcW w:type="dxa" w:w="3576"/>
          </w:tcPr>
          <w:p>
            <w:pPr>
              <w:pStyle w:val="Compact"/>
              <w:spacing w:line="240" w:lineRule="auto" w:after="20" w:before="20"/>
            </w:pPr>
            <w:r>
              <w:rPr>
                <w:i/>
                <w:iCs/>
                <w:sz w:val="19"/>
              </w:rPr>
              <w:t xml:space="preserve">Estoa</w:t>
            </w:r>
            <w:r>
              <w:rPr>
                <w:sz w:val="19"/>
              </w:rPr>
              <w:t xml:space="preserve"> </w:t>
            </w:r>
            <w:r>
              <w:rPr>
                <w:sz w:val="19"/>
              </w:rPr>
              <w:t xml:space="preserve">n.º 31</w:t>
            </w:r>
          </w:p>
        </w:tc>
        <w:tc>
          <w:tcPr>
            <w:tcW w:type="dxa" w:w="3585"/>
          </w:tcPr>
          <w:p>
            <w:pPr>
              <w:pStyle w:val="Compact"/>
              <w:spacing w:line="240" w:lineRule="auto" w:after="20" w:before="20"/>
            </w:pPr>
            <w:r>
              <w:rPr>
                <w:sz w:val="19"/>
              </w:rPr>
              <w:t xml:space="preserve">Versión arquitectónica (normas por confirmar)</w:t>
            </w:r>
          </w:p>
        </w:tc>
      </w:tr>
      <w:tr>
        <w:trPr>
          <w:cantSplit/>
        </w:trPr>
        <w:tc>
          <w:tcPr>
            <w:tcW w:type="dxa" w:w="2244"/>
          </w:tcPr>
          <w:p>
            <w:pPr>
              <w:pStyle w:val="Compact"/>
              <w:spacing w:line="240" w:lineRule="auto" w:after="20" w:before="20"/>
            </w:pPr>
            <w:r>
              <w:rPr>
                <w:sz w:val="19"/>
              </w:rPr>
              <w:t xml:space="preserve">Diciembre de 2026</w:t>
            </w:r>
          </w:p>
        </w:tc>
        <w:tc>
          <w:tcPr>
            <w:tcW w:type="dxa" w:w="3576"/>
          </w:tcPr>
          <w:p>
            <w:pPr>
              <w:pStyle w:val="Compact"/>
              <w:spacing w:line="240" w:lineRule="auto" w:after="20" w:before="20"/>
            </w:pPr>
            <w:r>
              <w:rPr>
                <w:sz w:val="19"/>
              </w:rPr>
              <w:t xml:space="preserve">Cierre de la ventana de</w:t>
            </w:r>
            <w:r>
              <w:rPr>
                <w:sz w:val="19"/>
              </w:rPr>
              <w:t xml:space="preserve"> </w:t>
            </w:r>
            <w:r>
              <w:rPr>
                <w:i/>
                <w:iCs/>
                <w:sz w:val="19"/>
              </w:rPr>
              <w:t xml:space="preserve">Aisthesis</w:t>
            </w:r>
            <w:r>
              <w:rPr>
                <w:sz w:val="19"/>
              </w:rPr>
              <w:t xml:space="preserve">; ventana de</w:t>
            </w:r>
            <w:r>
              <w:rPr>
                <w:sz w:val="19"/>
              </w:rPr>
              <w:t xml:space="preserve"> </w:t>
            </w:r>
            <w:r>
              <w:rPr>
                <w:i/>
                <w:iCs/>
                <w:sz w:val="19"/>
              </w:rPr>
              <w:t xml:space="preserve">AUS</w:t>
            </w:r>
            <w:r>
              <w:rPr>
                <w:sz w:val="19"/>
              </w:rPr>
              <w:t xml:space="preserve"> </w:t>
            </w:r>
            <w:r>
              <w:rPr>
                <w:sz w:val="19"/>
              </w:rPr>
              <w:t xml:space="preserve">(del 1 de diciembre al 15 de enero)</w:t>
            </w:r>
          </w:p>
        </w:tc>
        <w:tc>
          <w:tcPr>
            <w:tcW w:type="dxa" w:w="3585"/>
          </w:tcPr>
          <w:p>
            <w:pPr>
              <w:pStyle w:val="Compact"/>
              <w:spacing w:line="240" w:lineRule="auto" w:after="20" w:before="20"/>
            </w:pPr>
            <w:r>
              <w:rPr>
                <w:sz w:val="19"/>
              </w:rPr>
              <w:t xml:space="preserve">Versión estética; versión literaria</w:t>
            </w:r>
          </w:p>
        </w:tc>
      </w:tr>
      <w:tr>
        <w:trPr>
          <w:cantSplit/>
        </w:trPr>
        <w:tc>
          <w:tcPr>
            <w:tcW w:type="dxa" w:w="2244"/>
          </w:tcPr>
          <w:p>
            <w:pPr>
              <w:pStyle w:val="Compact"/>
              <w:spacing w:line="240" w:lineRule="auto" w:after="20" w:before="20"/>
            </w:pPr>
            <w:r>
              <w:rPr>
                <w:sz w:val="19"/>
              </w:rPr>
              <w:t xml:space="preserve">15 de enero de 2027</w:t>
            </w:r>
          </w:p>
        </w:tc>
        <w:tc>
          <w:tcPr>
            <w:tcW w:type="dxa" w:w="3576"/>
          </w:tcPr>
          <w:p>
            <w:pPr>
              <w:pStyle w:val="Compact"/>
              <w:spacing w:line="240" w:lineRule="auto" w:after="20" w:before="20"/>
            </w:pPr>
            <w:r>
              <w:rPr>
                <w:i/>
                <w:iCs/>
                <w:sz w:val="19"/>
              </w:rPr>
              <w:t xml:space="preserve">Ecozon@</w:t>
            </w:r>
            <w:r>
              <w:rPr>
                <w:sz w:val="19"/>
              </w:rPr>
              <w:t xml:space="preserve"> </w:t>
            </w:r>
            <w:r>
              <w:rPr>
                <w:sz w:val="19"/>
              </w:rPr>
              <w:t xml:space="preserve">(sección general);</w:t>
            </w:r>
            <w:r>
              <w:rPr>
                <w:sz w:val="19"/>
              </w:rPr>
              <w:t xml:space="preserve"> </w:t>
            </w:r>
            <w:r>
              <w:rPr>
                <w:i/>
                <w:iCs/>
                <w:sz w:val="19"/>
              </w:rPr>
              <w:t xml:space="preserve">Revista de Arquitectura</w:t>
            </w:r>
            <w:r>
              <w:rPr>
                <w:sz w:val="19"/>
              </w:rPr>
              <w:t xml:space="preserve"> </w:t>
            </w:r>
            <w:r>
              <w:rPr>
                <w:sz w:val="19"/>
              </w:rPr>
              <w:t xml:space="preserve">de la Universidad de Chile, n.º 52</w:t>
            </w:r>
          </w:p>
        </w:tc>
        <w:tc>
          <w:tcPr>
            <w:tcW w:type="dxa" w:w="3585"/>
          </w:tcPr>
          <w:p>
            <w:pPr>
              <w:pStyle w:val="Compact"/>
              <w:spacing w:line="240" w:lineRule="auto" w:after="20" w:before="20"/>
            </w:pPr>
            <w:r>
              <w:rPr>
                <w:sz w:val="19"/>
              </w:rPr>
              <w:t xml:space="preserve">Versión ecocrítica; versión de teoría arquitectónica</w:t>
            </w:r>
          </w:p>
        </w:tc>
      </w:tr>
      <w:tr>
        <w:trPr>
          <w:cantSplit/>
        </w:trPr>
        <w:tc>
          <w:tcPr>
            <w:tcW w:type="dxa" w:w="2244"/>
          </w:tcPr>
          <w:p>
            <w:pPr>
              <w:pStyle w:val="Compact"/>
              <w:spacing w:line="240" w:lineRule="auto" w:after="20" w:before="20"/>
            </w:pPr>
            <w:r>
              <w:rPr>
                <w:sz w:val="19"/>
              </w:rPr>
              <w:t xml:space="preserve">28 de febrero de 2027</w:t>
            </w:r>
          </w:p>
        </w:tc>
        <w:tc>
          <w:tcPr>
            <w:tcW w:type="dxa" w:w="3576"/>
          </w:tcPr>
          <w:p>
            <w:pPr>
              <w:pStyle w:val="Compact"/>
              <w:spacing w:line="240" w:lineRule="auto" w:after="20" w:before="20"/>
            </w:pPr>
            <w:r>
              <w:rPr>
                <w:i/>
                <w:iCs/>
                <w:sz w:val="19"/>
              </w:rPr>
              <w:t xml:space="preserve">RChD</w:t>
            </w:r>
            <w:r>
              <w:rPr>
                <w:sz w:val="19"/>
              </w:rPr>
              <w:t xml:space="preserve"> </w:t>
            </w:r>
            <w:r>
              <w:rPr>
                <w:sz w:val="19"/>
              </w:rPr>
              <w:t xml:space="preserve">n.º 22</w:t>
            </w:r>
          </w:p>
        </w:tc>
        <w:tc>
          <w:tcPr>
            <w:tcW w:type="dxa" w:w="3585"/>
          </w:tcPr>
          <w:p>
            <w:pPr>
              <w:pStyle w:val="Compact"/>
              <w:spacing w:line="240" w:lineRule="auto" w:after="20" w:before="20"/>
            </w:pPr>
            <w:r>
              <w:rPr>
                <w:sz w:val="19"/>
              </w:rPr>
              <w:t xml:space="preserve">Diseño e investigación desde la creación</w:t>
            </w:r>
          </w:p>
        </w:tc>
      </w:tr>
    </w:tbl>
    <w:p>
      <w:pPr>
        <w:pStyle w:val="BodyText"/>
      </w:pPr>
      <w:r>
        <w:t xml:space="preserve">Para 2027 conviene vigilar la próxima convocatoria de</w:t>
      </w:r>
      <w:r>
        <w:t xml:space="preserve"> </w:t>
      </w:r>
      <w:r>
        <w:rPr>
          <w:i/>
          <w:iCs/>
        </w:rPr>
        <w:t xml:space="preserve">Ciencia y Cultura</w:t>
      </w:r>
      <w:r>
        <w:t xml:space="preserve"> </w:t>
      </w:r>
      <w:r>
        <w:t xml:space="preserve">(su n.º 56 era casi a medida), el llamado 2027 del</w:t>
      </w:r>
      <w:r>
        <w:t xml:space="preserve"> </w:t>
      </w:r>
      <w:r>
        <w:rPr>
          <w:i/>
          <w:iCs/>
        </w:rPr>
        <w:t xml:space="preserve">Bolivian Studies Journal</w:t>
      </w:r>
      <w:r>
        <w:t xml:space="preserve"> </w:t>
      </w:r>
      <w:r>
        <w:t xml:space="preserve">y las próximas rondas de</w:t>
      </w:r>
      <w:r>
        <w:t xml:space="preserve"> </w:t>
      </w:r>
      <w:r>
        <w:rPr>
          <w:i/>
          <w:iCs/>
        </w:rPr>
        <w:t xml:space="preserve">Telar</w:t>
      </w:r>
      <w:r>
        <w:t xml:space="preserve">,</w:t>
      </w:r>
      <w:r>
        <w:t xml:space="preserve"> </w:t>
      </w:r>
      <w:r>
        <w:rPr>
          <w:i/>
          <w:iCs/>
        </w:rPr>
        <w:t xml:space="preserve">Letral</w:t>
      </w:r>
      <w:r>
        <w:t xml:space="preserve"> </w:t>
      </w:r>
      <w:r>
        <w:t xml:space="preserve">y</w:t>
      </w:r>
      <w:r>
        <w:t xml:space="preserve"> </w:t>
      </w:r>
      <w:r>
        <w:rPr>
          <w:i/>
          <w:iCs/>
        </w:rPr>
        <w:t xml:space="preserve">Dearq</w:t>
      </w:r>
      <w:r>
        <w:t xml:space="preserve">.</w:t>
      </w:r>
    </w:p>
    <w:bookmarkEnd w:id="15"/>
    <w:bookmarkStart w:id="38" w:name="enlaces-oficiales-de-las-diez-candidatas"/>
    <w:p>
      <w:pPr>
        <w:pStyle w:val="Heading2"/>
      </w:pPr>
      <w:r>
        <w:t xml:space="preserve">Enlaces oficiales de las diez candidatas</w:t>
      </w:r>
    </w:p>
    <w:p>
      <w:pPr>
        <w:pStyle w:val="Compact"/>
        <w:numPr>
          <w:ilvl w:val="0"/>
          <w:numId w:val="1008"/>
        </w:numPr>
      </w:pPr>
      <w:r>
        <w:rPr>
          <w:i/>
          <w:iCs/>
        </w:rPr>
        <w:t xml:space="preserve">Atenea</w:t>
      </w:r>
      <w:r>
        <w:t xml:space="preserve">:</w:t>
      </w:r>
      <w:r>
        <w:t xml:space="preserve"> </w:t>
      </w:r>
      <w:hyperlink r:id="rId16">
        <w:r>
          <w:rPr>
            <w:rStyle w:val="Hyperlink"/>
          </w:rPr>
          <w:t xml:space="preserve">sobre la revista</w:t>
        </w:r>
      </w:hyperlink>
      <w:r>
        <w:t xml:space="preserve">,</w:t>
      </w:r>
      <w:r>
        <w:t xml:space="preserve"> </w:t>
      </w:r>
      <w:hyperlink r:id="rId17">
        <w:r>
          <w:rPr>
            <w:rStyle w:val="Hyperlink"/>
          </w:rPr>
          <w:t xml:space="preserve">envíos</w:t>
        </w:r>
      </w:hyperlink>
      <w:r>
        <w:t xml:space="preserve">,</w:t>
      </w:r>
      <w:r>
        <w:t xml:space="preserve"> </w:t>
      </w:r>
      <w:hyperlink r:id="rId18">
        <w:r>
          <w:rPr>
            <w:rStyle w:val="Hyperlink"/>
          </w:rPr>
          <w:t xml:space="preserve">instrucciones en SciELO</w:t>
        </w:r>
      </w:hyperlink>
      <w:r>
        <w:t xml:space="preserve">.</w:t>
      </w:r>
    </w:p>
    <w:p>
      <w:pPr>
        <w:pStyle w:val="Compact"/>
        <w:numPr>
          <w:ilvl w:val="0"/>
          <w:numId w:val="1008"/>
        </w:numPr>
      </w:pPr>
      <w:r>
        <w:rPr>
          <w:i/>
          <w:iCs/>
        </w:rPr>
        <w:t xml:space="preserve">Revista de Crítica Literaria Latinoamericana</w:t>
      </w:r>
      <w:r>
        <w:t xml:space="preserve">:</w:t>
      </w:r>
      <w:r>
        <w:t xml:space="preserve"> </w:t>
      </w:r>
      <w:hyperlink r:id="rId19">
        <w:r>
          <w:rPr>
            <w:rStyle w:val="Hyperlink"/>
          </w:rPr>
          <w:t xml:space="preserve">sitio</w:t>
        </w:r>
      </w:hyperlink>
      <w:r>
        <w:t xml:space="preserve">.</w:t>
      </w:r>
    </w:p>
    <w:p>
      <w:pPr>
        <w:pStyle w:val="Compact"/>
        <w:numPr>
          <w:ilvl w:val="0"/>
          <w:numId w:val="1008"/>
        </w:numPr>
      </w:pPr>
      <w:r>
        <w:rPr>
          <w:i/>
          <w:iCs/>
        </w:rPr>
        <w:t xml:space="preserve">Literatura y Lingüística</w:t>
      </w:r>
      <w:r>
        <w:t xml:space="preserve">:</w:t>
      </w:r>
      <w:r>
        <w:t xml:space="preserve"> </w:t>
      </w:r>
      <w:hyperlink r:id="rId20">
        <w:r>
          <w:rPr>
            <w:rStyle w:val="Hyperlink"/>
          </w:rPr>
          <w:t xml:space="preserve">sobre la revista</w:t>
        </w:r>
      </w:hyperlink>
      <w:r>
        <w:t xml:space="preserve">,</w:t>
      </w:r>
      <w:r>
        <w:t xml:space="preserve"> </w:t>
      </w:r>
      <w:hyperlink r:id="rId21">
        <w:r>
          <w:rPr>
            <w:rStyle w:val="Hyperlink"/>
          </w:rPr>
          <w:t xml:space="preserve">envíos</w:t>
        </w:r>
      </w:hyperlink>
      <w:r>
        <w:t xml:space="preserve">.</w:t>
      </w:r>
    </w:p>
    <w:p>
      <w:pPr>
        <w:pStyle w:val="Compact"/>
        <w:numPr>
          <w:ilvl w:val="0"/>
          <w:numId w:val="1008"/>
        </w:numPr>
      </w:pPr>
      <w:r>
        <w:rPr>
          <w:i/>
          <w:iCs/>
        </w:rPr>
        <w:t xml:space="preserve">Bolivian Studies Journal</w:t>
      </w:r>
      <w:r>
        <w:t xml:space="preserve">:</w:t>
      </w:r>
      <w:r>
        <w:t xml:space="preserve"> </w:t>
      </w:r>
      <w:hyperlink r:id="rId22">
        <w:r>
          <w:rPr>
            <w:rStyle w:val="Hyperlink"/>
          </w:rPr>
          <w:t xml:space="preserve">about</w:t>
        </w:r>
      </w:hyperlink>
      <w:r>
        <w:t xml:space="preserve">,</w:t>
      </w:r>
      <w:r>
        <w:t xml:space="preserve"> </w:t>
      </w:r>
      <w:hyperlink r:id="rId23">
        <w:r>
          <w:rPr>
            <w:rStyle w:val="Hyperlink"/>
          </w:rPr>
          <w:t xml:space="preserve">submissions</w:t>
        </w:r>
      </w:hyperlink>
      <w:r>
        <w:t xml:space="preserve">.</w:t>
      </w:r>
    </w:p>
    <w:p>
      <w:pPr>
        <w:pStyle w:val="Compact"/>
        <w:numPr>
          <w:ilvl w:val="0"/>
          <w:numId w:val="1008"/>
        </w:numPr>
      </w:pPr>
      <w:r>
        <w:rPr>
          <w:i/>
          <w:iCs/>
        </w:rPr>
        <w:t xml:space="preserve">Kipus</w:t>
      </w:r>
      <w:r>
        <w:t xml:space="preserve">:</w:t>
      </w:r>
      <w:r>
        <w:t xml:space="preserve"> </w:t>
      </w:r>
      <w:hyperlink r:id="rId24">
        <w:r>
          <w:rPr>
            <w:rStyle w:val="Hyperlink"/>
          </w:rPr>
          <w:t xml:space="preserve">sobre la revista</w:t>
        </w:r>
      </w:hyperlink>
      <w:r>
        <w:t xml:space="preserve">,</w:t>
      </w:r>
      <w:r>
        <w:t xml:space="preserve"> </w:t>
      </w:r>
      <w:hyperlink r:id="rId25">
        <w:r>
          <w:rPr>
            <w:rStyle w:val="Hyperlink"/>
          </w:rPr>
          <w:t xml:space="preserve">envíos</w:t>
        </w:r>
      </w:hyperlink>
      <w:r>
        <w:t xml:space="preserve">.</w:t>
      </w:r>
    </w:p>
    <w:p>
      <w:pPr>
        <w:pStyle w:val="Compact"/>
        <w:numPr>
          <w:ilvl w:val="0"/>
          <w:numId w:val="1008"/>
        </w:numPr>
      </w:pPr>
      <w:r>
        <w:rPr>
          <w:i/>
          <w:iCs/>
        </w:rPr>
        <w:t xml:space="preserve">Estudios Filológicos</w:t>
      </w:r>
      <w:r>
        <w:t xml:space="preserve">:</w:t>
      </w:r>
      <w:r>
        <w:t xml:space="preserve"> </w:t>
      </w:r>
      <w:hyperlink r:id="rId26">
        <w:r>
          <w:rPr>
            <w:rStyle w:val="Hyperlink"/>
          </w:rPr>
          <w:t xml:space="preserve">acerca de</w:t>
        </w:r>
      </w:hyperlink>
      <w:r>
        <w:t xml:space="preserve">,</w:t>
      </w:r>
      <w:r>
        <w:t xml:space="preserve"> </w:t>
      </w:r>
      <w:hyperlink r:id="rId27">
        <w:r>
          <w:rPr>
            <w:rStyle w:val="Hyperlink"/>
          </w:rPr>
          <w:t xml:space="preserve">envíos</w:t>
        </w:r>
      </w:hyperlink>
      <w:r>
        <w:t xml:space="preserve">.</w:t>
      </w:r>
    </w:p>
    <w:p>
      <w:pPr>
        <w:pStyle w:val="Compact"/>
        <w:numPr>
          <w:ilvl w:val="0"/>
          <w:numId w:val="1008"/>
        </w:numPr>
      </w:pPr>
      <w:r>
        <w:rPr>
          <w:i/>
          <w:iCs/>
        </w:rPr>
        <w:t xml:space="preserve">Alpha</w:t>
      </w:r>
      <w:r>
        <w:t xml:space="preserve">:</w:t>
      </w:r>
      <w:r>
        <w:t xml:space="preserve"> </w:t>
      </w:r>
      <w:hyperlink r:id="rId28">
        <w:r>
          <w:rPr>
            <w:rStyle w:val="Hyperlink"/>
          </w:rPr>
          <w:t xml:space="preserve">about</w:t>
        </w:r>
      </w:hyperlink>
      <w:r>
        <w:t xml:space="preserve">,</w:t>
      </w:r>
      <w:r>
        <w:t xml:space="preserve"> </w:t>
      </w:r>
      <w:hyperlink r:id="rId29">
        <w:r>
          <w:rPr>
            <w:rStyle w:val="Hyperlink"/>
          </w:rPr>
          <w:t xml:space="preserve">submissions</w:t>
        </w:r>
      </w:hyperlink>
      <w:r>
        <w:t xml:space="preserve">.</w:t>
      </w:r>
    </w:p>
    <w:p>
      <w:pPr>
        <w:pStyle w:val="Compact"/>
        <w:numPr>
          <w:ilvl w:val="0"/>
          <w:numId w:val="1008"/>
        </w:numPr>
      </w:pPr>
      <w:r>
        <w:rPr>
          <w:i/>
          <w:iCs/>
        </w:rPr>
        <w:t xml:space="preserve">Dearq</w:t>
      </w:r>
      <w:r>
        <w:t xml:space="preserve">:</w:t>
      </w:r>
      <w:r>
        <w:t xml:space="preserve"> </w:t>
      </w:r>
      <w:hyperlink r:id="rId30">
        <w:r>
          <w:rPr>
            <w:rStyle w:val="Hyperlink"/>
          </w:rPr>
          <w:t xml:space="preserve">convocatorias</w:t>
        </w:r>
      </w:hyperlink>
      <w:r>
        <w:t xml:space="preserve">,</w:t>
      </w:r>
      <w:r>
        <w:t xml:space="preserve"> </w:t>
      </w:r>
      <w:hyperlink r:id="rId31">
        <w:r>
          <w:rPr>
            <w:rStyle w:val="Hyperlink"/>
          </w:rPr>
          <w:t xml:space="preserve">normas</w:t>
        </w:r>
      </w:hyperlink>
      <w:r>
        <w:t xml:space="preserve">.</w:t>
      </w:r>
    </w:p>
    <w:p>
      <w:pPr>
        <w:pStyle w:val="Compact"/>
        <w:numPr>
          <w:ilvl w:val="0"/>
          <w:numId w:val="1008"/>
        </w:numPr>
      </w:pPr>
      <w:r>
        <w:rPr>
          <w:i/>
          <w:iCs/>
        </w:rPr>
        <w:t xml:space="preserve">Revista 180</w:t>
      </w:r>
      <w:r>
        <w:t xml:space="preserve">:</w:t>
      </w:r>
      <w:r>
        <w:t xml:space="preserve"> </w:t>
      </w:r>
      <w:hyperlink r:id="rId32">
        <w:r>
          <w:rPr>
            <w:rStyle w:val="Hyperlink"/>
          </w:rPr>
          <w:t xml:space="preserve">sobre la revista</w:t>
        </w:r>
      </w:hyperlink>
      <w:r>
        <w:t xml:space="preserve">,</w:t>
      </w:r>
      <w:r>
        <w:t xml:space="preserve"> </w:t>
      </w:r>
      <w:hyperlink r:id="rId33">
        <w:r>
          <w:rPr>
            <w:rStyle w:val="Hyperlink"/>
          </w:rPr>
          <w:t xml:space="preserve">envíos</w:t>
        </w:r>
      </w:hyperlink>
      <w:r>
        <w:t xml:space="preserve">.</w:t>
      </w:r>
    </w:p>
    <w:p>
      <w:pPr>
        <w:pStyle w:val="Compact"/>
        <w:numPr>
          <w:ilvl w:val="0"/>
          <w:numId w:val="1008"/>
        </w:numPr>
      </w:pPr>
      <w:r>
        <w:rPr>
          <w:i/>
          <w:iCs/>
        </w:rPr>
        <w:t xml:space="preserve">Aisthesis</w:t>
      </w:r>
      <w:r>
        <w:t xml:space="preserve">:</w:t>
      </w:r>
      <w:r>
        <w:t xml:space="preserve"> </w:t>
      </w:r>
      <w:hyperlink r:id="rId34">
        <w:r>
          <w:rPr>
            <w:rStyle w:val="Hyperlink"/>
          </w:rPr>
          <w:t xml:space="preserve">acerca de, en SciELO</w:t>
        </w:r>
      </w:hyperlink>
      <w:r>
        <w:t xml:space="preserve">,</w:t>
      </w:r>
      <w:r>
        <w:t xml:space="preserve"> </w:t>
      </w:r>
      <w:hyperlink r:id="rId35">
        <w:r>
          <w:rPr>
            <w:rStyle w:val="Hyperlink"/>
          </w:rPr>
          <w:t xml:space="preserve">envíos</w:t>
        </w:r>
      </w:hyperlink>
      <w:r>
        <w:t xml:space="preserve">,</w:t>
      </w:r>
      <w:r>
        <w:t xml:space="preserve"> </w:t>
      </w:r>
      <w:hyperlink r:id="rId36">
        <w:r>
          <w:rPr>
            <w:rStyle w:val="Hyperlink"/>
          </w:rPr>
          <w:t xml:space="preserve">normas</w:t>
        </w:r>
      </w:hyperlink>
      <w:r>
        <w:t xml:space="preserve">.</w:t>
      </w:r>
    </w:p>
    <w:p>
      <w:pPr>
        <w:pStyle w:val="FirstParagraph"/>
      </w:pPr>
      <w:r>
        <w:t xml:space="preserve">La política de IA de la</w:t>
      </w:r>
      <w:r>
        <w:t xml:space="preserve"> </w:t>
      </w:r>
      <w:r>
        <w:rPr>
          <w:i/>
          <w:iCs/>
        </w:rPr>
        <w:t xml:space="preserve">Revista Hispánica Moderna</w:t>
      </w:r>
      <w:r>
        <w:t xml:space="preserve"> </w:t>
      </w:r>
      <w:r>
        <w:t xml:space="preserve">está en sus</w:t>
      </w:r>
      <w:r>
        <w:t xml:space="preserve"> </w:t>
      </w:r>
      <w:hyperlink r:id="rId37">
        <w:r>
          <w:rPr>
            <w:rStyle w:val="Hyperlink"/>
          </w:rPr>
          <w:t xml:space="preserve">instrucciones para autores</w:t>
        </w:r>
      </w:hyperlink>
      <w:r>
        <w:t xml:space="preserve">.</w:t>
      </w:r>
    </w:p>
    <w:bookmarkEnd w:id="38"/>
    <w:bookmarkEnd w:id="39"/>
    <w:sectPr>
      <w:footerReference w:type="default" r:id="rId9"/>
      <w:footnotePr>
        <w:numRestart w:val="eachSect"/>
      </w:footnotePr>
      <w:pgSz w:w="12240" w:h="15840"/>
      <w:pgMar w:left="1417" w:right="1417" w:top="1417" w:bottom="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B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2"/>
    </w:rPr>
  </w:style>
  <w:style w:styleId="BodyText" w:type="paragraph">
    <w:name w:val="Body Text"/>
    <w:basedOn w:val="Normal"/>
    <w:link w:val="BodyTextChar"/>
    <w:qFormat/>
    <w:pPr>
      <w:spacing w:after="120" w:before="0" w:line="276" w:lineRule="auto"/>
    </w:pPr>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before="0" w:line="276" w:lineRule="auto"/>
    </w:pPr>
    <w:rPr>
      <w:rFonts w:ascii="Times New Roman" w:cs="Times New Roman" w:eastAsia="Times New Roman" w:hAnsi="Times New Roman"/>
      <w:sz w:val="22"/>
    </w:rPr>
  </w:style>
  <w:style w:customStyle="1" w:styleId="Compact" w:type="paragraph">
    <w:name w:val="Compact"/>
    <w:basedOn w:val="BodyText"/>
    <w:qFormat/>
    <w:pPr>
      <w:spacing w:after="40" w:before="0" w:line="276" w:lineRule="auto"/>
    </w:pPr>
    <w:rPr>
      <w:rFonts w:ascii="Times New Roman" w:cs="Times New Roman" w:eastAsia="Times New Roman" w:hAnsi="Times New Roman"/>
      <w:sz w:val="22"/>
    </w:rPr>
  </w:style>
  <w:style w:styleId="Title" w:type="paragraph">
    <w:name w:val="Title"/>
    <w:basedOn w:val="Normal"/>
    <w:next w:val="BodyText"/>
    <w:link w:val="TitleChar"/>
    <w:uiPriority w:val="10"/>
    <w:qFormat/>
    <w:rsid w:val="00A10FD9"/>
    <w:pPr>
      <w:keepNext/>
      <w:spacing w:after="120" w:before="0" w:line="240" w:lineRule="auto"/>
      <w:contextualSpacing/>
      <w:jc w:val="center"/>
    </w:pPr>
    <w:rPr>
      <w:rFonts w:ascii="Times New Roman" w:cs="Times New Roman" w:eastAsia="Times New Roman" w:hAnsi="Times New Roman"/>
      <w:b/>
      <w:i w:val="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0" w:line="240" w:lineRule="auto"/>
      <w:outlineLvl w:val="0"/>
    </w:pPr>
    <w:rPr>
      <w:rFonts w:ascii="Times New Roman" w:cs="Times New Roman" w:eastAsia="Times New Roman" w:hAnsi="Times New Roman"/>
      <w:b/>
      <w:i w:val="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outlineLvl w:val="1"/>
    </w:pPr>
    <w:rPr>
      <w:rFonts w:ascii="Times New Roman" w:cs="Times New Roman" w:eastAsia="Times New Roman" w:hAnsi="Times New Roman"/>
      <w:b/>
      <w:i w:val="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40" w:lineRule="auto"/>
      <w:outlineLvl w:val="2"/>
    </w:pPr>
    <w:rPr>
      <w:rFonts w:ascii="Times New Roman" w:cs="Times New Roman" w:eastAsia="Times New Roman" w:hAnsi="Times New Roman"/>
      <w:b/>
      <w:i w:val="0"/>
      <w:sz w:val="23"/>
      <w:szCs w:val="28"/>
    </w:rPr>
  </w:style>
  <w:style w:styleId="Heading4" w:type="paragraph">
    <w:name w:val="heading 4"/>
    <w:basedOn w:val="Normal"/>
    <w:next w:val="BodyText"/>
    <w:link w:val="Heading4Char"/>
    <w:uiPriority w:val="9"/>
    <w:semiHidden/>
    <w:unhideWhenUsed/>
    <w:qFormat/>
    <w:rsid w:val="00A10FD9"/>
    <w:pPr>
      <w:keepNext/>
      <w:keepLines/>
      <w:spacing w:after="120" w:before="160" w:line="240" w:lineRule="auto"/>
      <w:outlineLvl w:val="3"/>
    </w:pPr>
    <w:rPr>
      <w:rFonts w:ascii="Times New Roman" w:cs="Times New Roman" w:eastAsia="Times New Roman" w:hAnsi="Times New Roman"/>
      <w:b/>
      <w:i w:val="0"/>
      <w:iCs/>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80" w:line="264" w:lineRule="auto"/>
      <w:ind w:firstLine="0" w:left="567" w:right="283"/>
    </w:pPr>
    <w:rPr>
      <w:rFonts w:ascii="Times New Roman" w:cs="Times New Roman" w:eastAsia="Times New Roman" w:hAnsi="Times New Roman"/>
      <w:i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120" w:before="0" w:line="276" w:lineRule="auto"/>
    </w:pPr>
    <w:rPr>
      <w:rFonts w:ascii="Times New Roman" w:cs="Times New Roman" w:eastAsia="Times New Roman" w:hAnsi="Times New Roman"/>
      <w:sz w:val="22"/>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before="0" w:line="276" w:lineRule="auto"/>
    </w:pPr>
    <w:rPr>
      <w:rFonts w:ascii="Times New Roman" w:cs="Times New Roman" w:eastAsia="Times New Roman" w:hAnsi="Times New Roman"/>
      <w:b/>
      <w:sz w:val="22"/>
    </w:rPr>
  </w:style>
  <w:style w:customStyle="1" w:styleId="Definition" w:type="paragraph">
    <w:name w:val="Definition"/>
    <w:basedOn w:val="Normal"/>
    <w:pPr>
      <w:spacing w:after="120" w:before="0" w:line="276" w:lineRule="auto"/>
    </w:pPr>
    <w:rPr>
      <w:rFonts w:ascii="Times New Roman" w:cs="Times New Roman" w:eastAsia="Times New Roman" w:hAnsi="Times New Roman"/>
      <w:sz w:val="22"/>
    </w:rPr>
  </w:style>
  <w:style w:styleId="Caption" w:type="paragraph">
    <w:name w:val="Caption"/>
    <w:basedOn w:val="Normal"/>
    <w:link w:val="BodyTextChar"/>
    <w:pPr>
      <w:spacing w:after="200" w:before="40" w:line="240" w:lineRule="auto"/>
      <w:jc w:val="center"/>
    </w:pPr>
    <w:rPr>
      <w:rFonts w:ascii="Times New Roman" w:cs="Times New Roman" w:eastAsia="Times New Roman" w:hAnsi="Times New Roman"/>
      <w:i/>
      <w:sz w:val="19"/>
    </w:rPr>
  </w:style>
  <w:style w:customStyle="1" w:styleId="TableCaption" w:type="paragraph">
    <w:name w:val="Table Caption"/>
    <w:basedOn w:val="Caption"/>
    <w:pPr>
      <w:keepNext/>
    </w:pPr>
  </w:style>
  <w:style w:customStyle="1" w:styleId="ImageCaption" w:type="paragraph">
    <w:name w:val="Image Caption"/>
    <w:basedOn w:val="Caption"/>
    <w:pPr>
      <w:spacing w:after="200" w:before="40" w:line="240" w:lineRule="auto"/>
      <w:jc w:val="center"/>
    </w:pPr>
    <w:rPr>
      <w:rFonts w:ascii="Times New Roman" w:cs="Times New Roman" w:eastAsia="Times New Roman" w:hAnsi="Times New Roman"/>
      <w:i/>
      <w:sz w:val="19"/>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revistas.uach.cl/index.php/efilolo/about/submissions" TargetMode="External"/><Relationship Id="rId22" Type="http://schemas.openxmlformats.org/officeDocument/2006/relationships/hyperlink" Target="https://bsj.pitt.edu/ojs/bsj/about" TargetMode="External"/><Relationship Id="rId23" Type="http://schemas.openxmlformats.org/officeDocument/2006/relationships/hyperlink" Target="https://bsj.pitt.edu/ojs/bsj/about/submissions" TargetMode="External"/><Relationship Id="rId20" Type="http://schemas.openxmlformats.org/officeDocument/2006/relationships/hyperlink" Target="https://ediciones.ucsh.cl/index.php/lyl/about" TargetMode="External"/><Relationship Id="rId21" Type="http://schemas.openxmlformats.org/officeDocument/2006/relationships/hyperlink" Target="https://ediciones.ucsh.cl/index.php/lyl/about/submissions" TargetMode="External"/><Relationship Id="rId19" Type="http://schemas.openxmlformats.org/officeDocument/2006/relationships/hyperlink" Target="https://rcllletras.unmsm.edu.pe/" TargetMode="External"/><Relationship Id="rId32" Type="http://schemas.openxmlformats.org/officeDocument/2006/relationships/hyperlink" Target="https://revista180.udp.cl/index.php/revista180/about" TargetMode="External"/><Relationship Id="rId33" Type="http://schemas.openxmlformats.org/officeDocument/2006/relationships/hyperlink" Target="https://revista180.udp.cl/index.php/revista180/about/submissions" TargetMode="External"/><Relationship Id="rId36" Type="http://schemas.openxmlformats.org/officeDocument/2006/relationships/hyperlink" Target="https://revistaaisthesis.uc.cl/index.php/RAIT/Normas_para_autores" TargetMode="External"/><Relationship Id="rId35" Type="http://schemas.openxmlformats.org/officeDocument/2006/relationships/hyperlink" Target="https://revistaaisthesis.uc.cl/index.php/RAIT/about/submissions" TargetMode="External"/><Relationship Id="rId28" Type="http://schemas.openxmlformats.org/officeDocument/2006/relationships/hyperlink" Target="https://revistaalpha.ulagos.cl/en/Sobrelarevista/index" TargetMode="External"/><Relationship Id="rId29" Type="http://schemas.openxmlformats.org/officeDocument/2006/relationships/hyperlink" Target="https://revistaalpha.ulagos.cl/index.php/alpha/en/about/submissions" TargetMode="External"/><Relationship Id="rId24" Type="http://schemas.openxmlformats.org/officeDocument/2006/relationships/hyperlink" Target="https://revistas.uasb.edu.ec/index.php/kipus/about" TargetMode="External"/><Relationship Id="rId25" Type="http://schemas.openxmlformats.org/officeDocument/2006/relationships/hyperlink" Target="https://revistas.uasb.edu.ec/index.php/kipus/about/submissions" TargetMode="External"/><Relationship Id="rId16" Type="http://schemas.openxmlformats.org/officeDocument/2006/relationships/hyperlink" Target="https://revistas.udec.cl/index.php/atenea/about" TargetMode="External"/><Relationship Id="rId17" Type="http://schemas.openxmlformats.org/officeDocument/2006/relationships/hyperlink" Target="https://revistas.udec.cl/index.php/atenea/about/submissions" TargetMode="External"/><Relationship Id="rId30" Type="http://schemas.openxmlformats.org/officeDocument/2006/relationships/hyperlink" Target="https://revistas.uniandes.edu.co/index.php/dearq/callforpapers" TargetMode="External"/><Relationship Id="rId31" Type="http://schemas.openxmlformats.org/officeDocument/2006/relationships/hyperlink" Target="https://revistas.uniandes.edu.co/index.php/dearq/publication" TargetMode="External"/><Relationship Id="rId37" Type="http://schemas.openxmlformats.org/officeDocument/2006/relationships/hyperlink" Target="https://rhm.pennpress.org/about/author-guidelines/" TargetMode="External"/><Relationship Id="rId34" Type="http://schemas.openxmlformats.org/officeDocument/2006/relationships/hyperlink" Target="https://scielo.conicyt.cl/revistas/aisthesis/eaboutj.htm" TargetMode="External"/><Relationship Id="rId18" Type="http://schemas.openxmlformats.org/officeDocument/2006/relationships/hyperlink" Target="https://www.scielo.cl/revistas/atenea/einstruc.htm" TargetMode="External"/><Relationship Id="rId26" Type="http://schemas.openxmlformats.org/officeDocument/2006/relationships/hyperlink" Target="https://www.scielo.cl/revistas/efilolo/eaboutj.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7" Type="http://schemas.openxmlformats.org/officeDocument/2006/relationships/hyperlink" Target="http://revistas.uach.cl/index.php/efilolo/about/submissions" TargetMode="External"/><Relationship Id="rId22" Type="http://schemas.openxmlformats.org/officeDocument/2006/relationships/hyperlink" Target="https://bsj.pitt.edu/ojs/bsj/about" TargetMode="External"/><Relationship Id="rId23" Type="http://schemas.openxmlformats.org/officeDocument/2006/relationships/hyperlink" Target="https://bsj.pitt.edu/ojs/bsj/about/submissions" TargetMode="External"/><Relationship Id="rId20" Type="http://schemas.openxmlformats.org/officeDocument/2006/relationships/hyperlink" Target="https://ediciones.ucsh.cl/index.php/lyl/about" TargetMode="External"/><Relationship Id="rId21" Type="http://schemas.openxmlformats.org/officeDocument/2006/relationships/hyperlink" Target="https://ediciones.ucsh.cl/index.php/lyl/about/submissions" TargetMode="External"/><Relationship Id="rId19" Type="http://schemas.openxmlformats.org/officeDocument/2006/relationships/hyperlink" Target="https://rcllletras.unmsm.edu.pe/" TargetMode="External"/><Relationship Id="rId32" Type="http://schemas.openxmlformats.org/officeDocument/2006/relationships/hyperlink" Target="https://revista180.udp.cl/index.php/revista180/about" TargetMode="External"/><Relationship Id="rId33" Type="http://schemas.openxmlformats.org/officeDocument/2006/relationships/hyperlink" Target="https://revista180.udp.cl/index.php/revista180/about/submissions" TargetMode="External"/><Relationship Id="rId36" Type="http://schemas.openxmlformats.org/officeDocument/2006/relationships/hyperlink" Target="https://revistaaisthesis.uc.cl/index.php/RAIT/Normas_para_autores" TargetMode="External"/><Relationship Id="rId35" Type="http://schemas.openxmlformats.org/officeDocument/2006/relationships/hyperlink" Target="https://revistaaisthesis.uc.cl/index.php/RAIT/about/submissions" TargetMode="External"/><Relationship Id="rId28" Type="http://schemas.openxmlformats.org/officeDocument/2006/relationships/hyperlink" Target="https://revistaalpha.ulagos.cl/en/Sobrelarevista/index" TargetMode="External"/><Relationship Id="rId29" Type="http://schemas.openxmlformats.org/officeDocument/2006/relationships/hyperlink" Target="https://revistaalpha.ulagos.cl/index.php/alpha/en/about/submissions" TargetMode="External"/><Relationship Id="rId24" Type="http://schemas.openxmlformats.org/officeDocument/2006/relationships/hyperlink" Target="https://revistas.uasb.edu.ec/index.php/kipus/about" TargetMode="External"/><Relationship Id="rId25" Type="http://schemas.openxmlformats.org/officeDocument/2006/relationships/hyperlink" Target="https://revistas.uasb.edu.ec/index.php/kipus/about/submissions" TargetMode="External"/><Relationship Id="rId16" Type="http://schemas.openxmlformats.org/officeDocument/2006/relationships/hyperlink" Target="https://revistas.udec.cl/index.php/atenea/about" TargetMode="External"/><Relationship Id="rId17" Type="http://schemas.openxmlformats.org/officeDocument/2006/relationships/hyperlink" Target="https://revistas.udec.cl/index.php/atenea/about/submissions" TargetMode="External"/><Relationship Id="rId30" Type="http://schemas.openxmlformats.org/officeDocument/2006/relationships/hyperlink" Target="https://revistas.uniandes.edu.co/index.php/dearq/callforpapers" TargetMode="External"/><Relationship Id="rId31" Type="http://schemas.openxmlformats.org/officeDocument/2006/relationships/hyperlink" Target="https://revistas.uniandes.edu.co/index.php/dearq/publication" TargetMode="External"/><Relationship Id="rId37" Type="http://schemas.openxmlformats.org/officeDocument/2006/relationships/hyperlink" Target="https://rhm.pennpress.org/about/author-guidelines/" TargetMode="External"/><Relationship Id="rId34" Type="http://schemas.openxmlformats.org/officeDocument/2006/relationships/hyperlink" Target="https://scielo.conicyt.cl/revistas/aisthesis/eaboutj.htm" TargetMode="External"/><Relationship Id="rId18" Type="http://schemas.openxmlformats.org/officeDocument/2006/relationships/hyperlink" Target="https://www.scielo.cl/revistas/atenea/einstruc.htm" TargetMode="External"/><Relationship Id="rId26" Type="http://schemas.openxmlformats.org/officeDocument/2006/relationships/hyperlink" Target="https://www.scielo.cl/revistas/efilolo/eaboutj.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Revistas candidatas</dc:title>
  <dc:creator>Joaquin Max Cuevas Ventura</dc:creator>
  <dc:language>es-BO</dc:language>
  <cp:keywords/>
  <dcterms:created xsi:type="dcterms:W3CDTF">2026-10-18T22:34:50Z</dcterms:created>
  <dcterms:modified xsi:type="dcterms:W3CDTF">2026-10-18T22:34:50Z</dcterms:modified>
</cp:coreProperties>
</file>

<file path=docProps/custom.xml><?xml version="1.0" encoding="utf-8"?>
<Properties xmlns="http://schemas.openxmlformats.org/officeDocument/2006/custom-properties" xmlns:vt="http://schemas.openxmlformats.org/officeDocument/2006/docPropsVTypes"/>
</file>