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fdf5c4b111121f61c3e47682ce38e3b1cc2db9c"/>
    <w:p>
      <w:pPr>
        <w:pStyle w:val="Heading1"/>
      </w:pPr>
      <w:r>
        <w:t xml:space="preserve">La cosecha de piedras: piedra, papel y máquina en</w:t>
      </w:r>
      <w:r>
        <w:t xml:space="preserve"> </w:t>
      </w:r>
      <w:r>
        <w:rPr>
          <w:i/>
          <w:iCs/>
        </w:rPr>
        <w:t xml:space="preserve">Altiplano</w:t>
      </w:r>
    </w:p>
    <w:p>
      <w:pPr>
        <w:pStyle w:val="FirstParagraph"/>
      </w:pPr>
      <w:r>
        <w:rPr>
          <w:b/>
          <w:bCs/>
        </w:rPr>
        <w:t xml:space="preserve">The Harvest of Stones: Stone, Paper and Machine in</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Un arquitecto reconoce aquí dos maneras de construir.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Aquí no se lee la novela ni como documento ni como redención.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se hace desde la arquitectura y el dibujo, con las herramientas de ese oficio: la planta, el corte, el peso de los materiales, la mano que dibuja. Hay tres razones para hacerlo así. Primero, en</w:t>
      </w:r>
      <w:r>
        <w:t xml:space="preserve"> </w:t>
      </w:r>
      <w:r>
        <w:rPr>
          <w:i/>
          <w:iCs/>
        </w:rPr>
        <w:t xml:space="preserve">Altiplano</w:t>
      </w:r>
      <w:r>
        <w:t xml:space="preserve"> </w:t>
      </w:r>
      <w:r>
        <w:t xml:space="preserve">el saber sobre el espacio es material: piedra, adobe, paja y papel. Segundo, el dibujo, que obliga a decidir punto de vista, escala y límite, deja a la vista las categorías que el lector proyecta. Tercero,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Dicho de manera simple: para la primera, la tierra es un conjunto de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De las imágenes de la materia, Gaston Bachelard escribió: «La vista las nombra, pero la mano las conoce» (Bachelard, 1978 [1942]: 7-8, cit. en Pallasmaa, 2014: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y cada oficio tiene su</w:t>
      </w:r>
      <w:r>
        <w:t xml:space="preserve"> </w:t>
      </w:r>
      <w:r>
        <w:rPr>
          <w:i/>
          <w:iCs/>
        </w:rPr>
        <w:t xml:space="preserve">manoaje</w:t>
      </w:r>
      <w:r>
        <w:t xml:space="preserve">, «un subgrupo contextual de acciones manuales» (Cárcamo Pino, 2025b: 259). Cárcamo Pino recuerda además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 Los dos primeros pasos se hacen sobre el texto; los dos últimos, en el pastel.</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guarda las herramientas de las manos.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 Su umbral es el «portal de su chujlla» desde el que Paulo Huanca ve partir a los hijos que la escasez expulsa (Botelho Gosálvez, 1982 [1945]: 34).</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de dos metros de alto, fuego al centro, herramientas colgadas de las vigas (ibid.: 8, 30-31) y, en el techo, un crucifijo con «una pequeña huaca de barro cocido» (ibid.: 10). (2)</w:t>
      </w:r>
      <w:r>
        <w:t xml:space="preserve"> </w:t>
      </w:r>
      <w:r>
        <w:rPr>
          <w:i/>
          <w:iCs/>
        </w:rPr>
        <w:t xml:space="preserve">Operación</w:t>
      </w:r>
      <w: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pPr>
      <w:r>
        <w:drawing>
          <wp:inline>
            <wp:extent cx="5039999" cy="2867142"/>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2867142"/>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679999" cy="3786545"/>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679999" cy="3786545"/>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 El narrador vuelve a proyectar: mira la cordillera con la arquitectura de Europa.</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 Es una arquitectura de manos.</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Un umbral sin piedras.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obra de muchas manos.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w:t>
      </w:r>
    </w:p>
    <w:p>
      <w:pPr>
        <w:pStyle w:val="Figura"/>
      </w:pPr>
      <w:r>
        <w:drawing>
          <wp:inline>
            <wp:extent cx="5039999" cy="2826782"/>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2826782"/>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3241558" cy="467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3241558" cy="467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Al salir del ayllu, las casas ajenas se les cierran: a los vecinos, la sequía «les endureció el alma como había endurecido la tierra», y los reciben «dándoles con las puertas» y a pedradas (ibid.: 80).</w:t>
      </w:r>
    </w:p>
    <w:p>
      <w:pPr>
        <w:pStyle w:val="BodyText"/>
      </w:pPr>
      <w:r>
        <w:t xml:space="preserve">El yatiri Basilio Quispe es acusado de causar la sequía: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las montañas, en cambio, suelen ser masculinas (Dean, 2010: 68), como el cerro «padre del ayllu» (Botelho Gosálvez, 1982 [1945]: 8). Lo que sí es del narrador es el tono: una tierra que «abortó en plena gestación» (ibid.: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274186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274186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pPr>
      <w:r>
        <w:drawing>
          <wp:inline>
            <wp:extent cx="3844929" cy="467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44929" cy="467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6"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(Botelho Gosálvez, 1982 [1945]: 155). El ayllu tiene dintel: es una casa. Han muerto más de ciento cincuenta comunarios (ibid.: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Una pirca de doble cara enseña lo que esa memoria olvida: las piedras grandes dan la cara, pero adentro, apretadas entre las dos caras,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y la Pachamama recuperó «su prestigio de hembra paridora y múltiple» (ibid.: 159). La paz se paga con ese olvido.</w:t>
      </w:r>
    </w:p>
    <w:p>
      <w:pPr>
        <w:pStyle w:val="BodyText"/>
      </w:pPr>
      <w:r>
        <w:t xml:space="preserve">Ursula K. Le Guin opuso dos formas de contar: la del arma, con forma de flecha,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6"/>
    <w:bookmarkStart w:id="37"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37"/>
    <w:bookmarkStart w:id="38"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inteligencia artificial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38"/>
    <w:bookmarkStart w:id="39" w:name="bibliografía"/>
    <w:p>
      <w:pPr>
        <w:pStyle w:val="Heading2"/>
      </w:pPr>
      <w:r>
        <w:t xml:space="preserve">Bibliografía</w:t>
      </w:r>
    </w:p>
    <w:p>
      <w:pPr>
        <w:pStyle w:val="FirstParagraph"/>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39"/>
    <w:bookmarkEnd w:id="40"/>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modela un barro o se limpia un campo, más que trazando líneas.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2026-09-29T14:03:47Z</dcterms:created>
  <dcterms:modified xsi:type="dcterms:W3CDTF">2026-09-29T14:03:47Z</dcterms:modified>
</cp:coreProperties>
</file>

<file path=docProps/custom.xml><?xml version="1.0" encoding="utf-8"?>
<Properties xmlns="http://schemas.openxmlformats.org/officeDocument/2006/custom-properties" xmlns:vt="http://schemas.openxmlformats.org/officeDocument/2006/docPropsVTypes"/>
</file>