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fdf5c4b111121f61c3e47682ce38e3b1cc2db9c"/>
      <w:r>
        <w:rPr/>
        <w:t xml:space="preserve">La cosecha de piedras: piedra, papel y máquina en </w:t>
      </w:r>
      <w:r>
        <w:rPr>
          <w:i/>
          <w:iCs/>
        </w:rPr>
        <w:t>Altiplano</w:t>
      </w:r>
    </w:p>
    <w:p>
      <w:pPr>
        <w:pStyle w:val="FirstParagraph"/>
        <w:rPr/>
      </w:pPr>
      <w:r>
        <w:rPr>
          <w:b/>
          <w:bCs/>
        </w:rPr>
        <w:t xml:space="preserve">The Harvest of Stones: Stone, Paper and Machine in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w:t>
      </w:r>
      <w:del w:id="0" w:author="Unknown Author" w:date="2026-09-29T15:38:02Z">
        <w:r>
          <w:rPr/>
          <w:delText xml:space="preserve">Un arquitecto reconoce aquí dos maneras de construir. </w:delText>
        </w:r>
      </w:del>
      <w:r>
        <w:rPr/>
        <w:t xml:space="preserve">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w:t>
      </w:r>
      <w:del w:id="1" w:author="Unknown Author" w:date="2026-09-29T15:38:02Z">
        <w:r>
          <w:rPr/>
          <w:delText xml:space="preserve">Hay tres razones para hacerlo así. </w:delText>
        </w:r>
      </w:del>
      <w:r>
        <w:rPr/>
        <w:t xml:space="preserve">Primero, en </w:t>
      </w:r>
      <w:r>
        <w:rPr>
          <w:i/>
          <w:iCs/>
        </w:rPr>
        <w:t>Altiplano</w:t>
      </w:r>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w:t>
      </w:r>
      <w:ins w:id="2" w:author="Unknown Author" w:date="2026-09-29T15:38:02Z">
        <w:r>
          <w:rPr/>
          <w:t>Es decir</w:t>
        </w:r>
      </w:ins>
      <w:del w:id="3" w:author="Unknown Author" w:date="2026-09-29T15:38:02Z">
        <w:r>
          <w:rPr/>
          <w:delText>Dicho de manera simple</w:delText>
        </w:r>
      </w:del>
      <w:r>
        <w:rPr/>
        <w:t xml:space="preserve">: para la primera, la tierra es un conjunto de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y cada oficio tiene su </w:t>
      </w:r>
      <w:r>
        <w:rPr>
          <w:i/>
          <w:iCs/>
        </w:rPr>
        <w:t>manoaje</w:t>
      </w:r>
      <w:r>
        <w:rPr/>
        <w:t>, «un subgrupo contextual de acciones manuales» (Cárcamo Pino, 2025b: 259).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del w:id="4" w:author="Unknown Author" w:date="2026-09-29T15:38:02Z">
        <w:r>
          <w:rPr/>
          <w:delText xml:space="preserve"> Los dos primeros pasos se hacen sobre el texto; los dos últimos, en el pastel.</w:delText>
        </w:r>
      </w:del>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de dos metros de alto, fuego al centro, herramientas colgadas de las vigas (ibid.: 8, 30-31) y, en el techo, un crucifijo con «una pequeña huaca de barro cocido» (ibid.: 10). (2) </w:t>
      </w:r>
      <w:r>
        <w:rPr>
          <w:i/>
          <w:iCs/>
        </w:rPr>
        <w:t>Operación</w:t>
      </w:r>
      <w:r>
        <w:rP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w:t>
      </w:r>
      <w:ins w:id="5" w:author="Unknown Author" w:date="2026-09-29T15:38:02Z">
        <w:r>
          <w:rPr/>
          <w:t>ve en la cordillera</w:t>
        </w:r>
      </w:ins>
      <w:del w:id="6" w:author="Unknown Author" w:date="2026-09-29T15:38:02Z">
        <w:r>
          <w:rPr/>
          <w:delText>vuelve a proyectar: mira la cordillera con</w:delText>
        </w:r>
      </w:del>
      <w:r>
        <w:rPr/>
        <w:t xml:space="preserve"> la arquitectura de Europa.</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del w:id="7" w:author="Unknown Author" w:date="2026-09-29T15:38:02Z">
        <w:r>
          <w:rPr/>
          <w:delText xml:space="preserve"> Es una arquitectura de manos.</w:delText>
        </w:r>
      </w:del>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w:t>
      </w:r>
      <w:del w:id="8" w:author="Unknown Author" w:date="2026-09-29T15:38:02Z">
        <w:r>
          <w:rPr/>
          <w:delText xml:space="preserve">Un umbral sin piedras. </w:delText>
        </w:r>
      </w:del>
      <w:r>
        <w:rPr/>
        <w:t xml:space="preserve">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rPr/>
      </w:pPr>
      <w:r>
        <w:rP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 xml:space="preserve">Muralla, foso, atalaya: recordar es construir, y olvidar también.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y la Pachamama recuperó «su prestigio de hembra paridora y múltiple» (ibid.: 159). </w:t>
      </w:r>
      <w:ins w:id="9" w:author="Unknown Author" w:date="2026-09-29T15:38:02Z">
        <w:r>
          <w:rPr/>
          <w:t xml:space="preserve">Endurecerse para no sufrir la pérdida tiene nombre en aymara: </w:t>
        </w:r>
      </w:ins>
      <w:ins w:id="10" w:author="Unknown Author" w:date="2026-09-29T15:38:02Z">
        <w:r>
          <w:rPr>
            <w:i/>
            <w:iCs/>
          </w:rPr>
          <w:t>qalachuyma</w:t>
        </w:r>
      </w:ins>
      <w:ins w:id="11" w:author="Unknown Author" w:date="2026-09-29T15:38:02Z">
        <w:r>
          <w:rPr/>
          <w:t xml:space="preserve">, «corazón de piedra»; para volverse así, «hay que lamer el batán de moler» (Spedding, 2025: XV). </w:t>
        </w:r>
      </w:ins>
      <w:r>
        <w:rPr/>
        <w:t>La paz se paga con ese olvido.</w:t>
      </w:r>
    </w:p>
    <w:p>
      <w:pPr>
        <w:pStyle w:val="BodyText"/>
        <w:rPr/>
      </w:pPr>
      <w:r>
        <w:rPr/>
        <w:t>Ursula K. Le Guin opuso dos formas de contar: la del arma</w:t>
      </w:r>
      <w:del w:id="12" w:author="Unknown Author" w:date="2026-09-29T15:38:02Z">
        <w:r>
          <w:rPr/>
          <w:delText>, con forma de flecha,</w:delText>
        </w:r>
      </w:del>
      <w:r>
        <w:rPr/>
        <w:t xml:space="preserve">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8"/>
    </w:p>
    <w:p>
      <w:pPr>
        <w:pStyle w:val="Heading2"/>
        <w:rPr/>
      </w:pPr>
      <w:bookmarkStart w:id="9"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9"/>
    </w:p>
    <w:p>
      <w:pPr>
        <w:pStyle w:val="Heading2"/>
        <w:rPr/>
      </w:pPr>
      <w:bookmarkStart w:id="10"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inteligencia artificial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0"/>
    </w:p>
    <w:p>
      <w:pPr>
        <w:pStyle w:val="Heading2"/>
        <w:rPr/>
      </w:pPr>
      <w:bookmarkStart w:id="11" w:name="bibliografía"/>
      <w:r>
        <w:rPr/>
        <w:t>Bibliografía</w:t>
      </w:r>
    </w:p>
    <w:p>
      <w:pPr>
        <w:pStyle w:val="FirstParagraph"/>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ins w:id="16" w:author="Unknown Author" w:date="2026-09-29T15:38:02Z"/>
        </w:rPr>
      </w:pPr>
      <w:ins w:id="13" w:author="Unknown Author" w:date="2026-09-29T15:38:02Z">
        <w:r>
          <w:rPr/>
          <w:t xml:space="preserve">Spedding, Alison (2025). “Piedras en el camino”. En </w:t>
        </w:r>
      </w:ins>
      <w:ins w:id="14" w:author="Unknown Author" w:date="2026-09-29T15:38:02Z">
        <w:r>
          <w:rPr>
            <w:i/>
            <w:iCs/>
          </w:rPr>
          <w:t>Susto al susto</w:t>
        </w:r>
      </w:ins>
      <w:ins w:id="15" w:author="Unknown Author" w:date="2026-09-29T15:38:02Z">
        <w:r>
          <w:rPr/>
          <w:t>. La Paz: A ediciones: XIII-XXIII.</w:t>
        </w:r>
      </w:ins>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1"/>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2026-09-29T15:37:59Z</dcterms:created>
  <dc:creator/>
  <dc:description/>
  <dc:language>en-US</dc:language>
  <cp:lastModifiedBy/>
  <dcterms:modified xsi:type="dcterms:W3CDTF">2026-09-29T15:38:02Z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