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b77f2b31b346d0baf66ecb196d493a47741f34c"/>
    <w:p>
      <w:pPr>
        <w:pStyle w:val="Heading1"/>
      </w:pPr>
      <w:r>
        <w:t xml:space="preserve">La cosecha de piedras: dibujar el habitar en</w:t>
      </w:r>
      <w:r>
        <w:t xml:space="preserve"> </w:t>
      </w:r>
      <w:r>
        <w:rPr>
          <w:i/>
          <w:iCs/>
        </w:rPr>
        <w:t xml:space="preserve">Altiplano</w:t>
      </w:r>
      <w:r>
        <w:t xml:space="preserve"> </w:t>
      </w:r>
      <w:r>
        <w:t xml:space="preserve">de Botelho Gosálvez</w:t>
      </w:r>
    </w:p>
    <w:p>
      <w:pPr>
        <w:pStyle w:val="FirstParagraph"/>
      </w:pPr>
      <w:r>
        <w:rPr>
          <w:b/>
          <w:bCs/>
        </w:rPr>
        <w:t xml:space="preserve">The Harvest of Stones: Drawing Dwelling in Botelho Gosálvez’s</w:t>
      </w:r>
      <w:r>
        <w:rPr>
          <w:b/>
          <w:bCs/>
        </w:rPr>
        <w:t xml:space="preserve"> </w:t>
      </w:r>
      <w:r>
        <w:rPr>
          <w:b/>
          <w:bCs/>
          <w:i/>
          <w:iCs/>
        </w:rPr>
        <w:t xml:space="preserve">Altiplano</w:t>
      </w:r>
    </w:p>
    <w:p>
      <w:pPr>
        <w:pStyle w:val="BodyText"/>
      </w:pPr>
      <w:r>
        <w:t xml:space="preserve">⟦Nombre y apellidos del autor o autora⟧</w:t>
      </w:r>
      <w:r>
        <w:rPr>
          <w:rStyle w:val="FootnoteReference"/>
        </w:rPr>
        <w:footnoteReference w:id="9"/>
      </w:r>
    </w:p>
    <w:p>
      <w:pPr>
        <w:pStyle w:val="BodyText"/>
      </w:pPr>
      <w:r>
        <w:rPr>
          <w:b/>
          <w:bCs/>
        </w:rPr>
        <w:t xml:space="preserve">Resumen</w:t>
      </w:r>
    </w:p>
    <w:p>
      <w:pPr>
        <w:pStyle w:val="BodyText"/>
      </w:pPr>
      <w:r>
        <w:t xml:space="preserve">El artículo relee</w:t>
      </w:r>
      <w:r>
        <w:t xml:space="preserve"> </w:t>
      </w:r>
      <w:r>
        <w:rPr>
          <w:i/>
          <w:iCs/>
        </w:rPr>
        <w:t xml:space="preserve">Altiplano</w:t>
      </w:r>
      <w:r>
        <w:t xml:space="preserve"> </w:t>
      </w:r>
      <w:r>
        <w:t xml:space="preserve">(1945), de Raúl Botelho Gosálvez, desde su «cosecha de piedras». Cruza la crítica histórica del concepto de espacio, el manuaje, la tectónica, la legibilidad estatal, la lectura arquitectónica de la ficción y el método de Simon Lundberg, y propone seis pasteles al óleo como instrumentos de lectura. Sostiene que la novela piensa el habitar como manipulación de la piedra, el despojo como su captura por una red de personas, papeles y máquinas, y la memoria como reparación selectiva del lugar; y que su narrador, al denunciar, también petrifica a quienes describe.</w:t>
      </w:r>
    </w:p>
    <w:p>
      <w:pPr>
        <w:pStyle w:val="BodyText"/>
      </w:pPr>
      <w:r>
        <w:rPr>
          <w:b/>
          <w:bCs/>
        </w:rPr>
        <w:t xml:space="preserve">Palabras clave:</w:t>
      </w:r>
      <w:r>
        <w:t xml:space="preserve"> </w:t>
      </w:r>
      <w:r>
        <w:t xml:space="preserve">Botelho Gosálvez;</w:t>
      </w:r>
      <w:r>
        <w:t xml:space="preserve"> </w:t>
      </w:r>
      <w:r>
        <w:rPr>
          <w:i/>
          <w:iCs/>
        </w:rPr>
        <w:t xml:space="preserve">Altiplano</w:t>
      </w:r>
      <w:r>
        <w:t xml:space="preserve">; espacialidad literaria; manuaje; dibujo como investigación.</w:t>
      </w:r>
    </w:p>
    <w:p>
      <w:pPr>
        <w:pStyle w:val="BodyText"/>
      </w:pPr>
      <w:r>
        <w:rPr>
          <w:b/>
          <w:bCs/>
        </w:rPr>
        <w:t xml:space="preserve">Abstract</w:t>
      </w:r>
    </w:p>
    <w:p>
      <w:pPr>
        <w:pStyle w:val="BodyText"/>
      </w:pPr>
      <w:r>
        <w:t xml:space="preserve">This article rereads</w:t>
      </w:r>
      <w:r>
        <w:t xml:space="preserve"> </w:t>
      </w:r>
      <w:r>
        <w:rPr>
          <w:i/>
          <w:iCs/>
        </w:rPr>
        <w:t xml:space="preserve">Altiplano</w:t>
      </w:r>
      <w:r>
        <w:t xml:space="preserve"> </w:t>
      </w:r>
      <w:r>
        <w:t xml:space="preserve">(1945), by Raúl Botelho Gosálvez, through its</w:t>
      </w:r>
      <w:r>
        <w:t xml:space="preserve"> </w:t>
      </w:r>
      <w:r>
        <w:t xml:space="preserve">“harvest of stones”</w:t>
      </w:r>
      <w:r>
        <w:t xml:space="preserve">. It brings together the historical critique of the concept of space, manuage, tectonics, state legibility, the architectural reading of fiction and Simon Lundberg’s drawing method, and proposes six oil pastels as reading instruments. It argues that the novel conceives dwelling as the handling of stone, dispossession as the capture of that handling by a network of people, papers and machines, and memory as a selective repair of place; and that its narrator, while denouncing, also petrifies the people portrayed.</w:t>
      </w:r>
    </w:p>
    <w:p>
      <w:pPr>
        <w:pStyle w:val="BodyText"/>
      </w:pPr>
      <w:r>
        <w:rPr>
          <w:b/>
          <w:bCs/>
        </w:rPr>
        <w:t xml:space="preserve">Keywords:</w:t>
      </w:r>
      <w:r>
        <w:t xml:space="preserve"> </w:t>
      </w:r>
      <w:r>
        <w:t xml:space="preserve">Botelho Gosálvez;</w:t>
      </w:r>
      <w:r>
        <w:t xml:space="preserve"> </w:t>
      </w:r>
      <w:r>
        <w:rPr>
          <w:i/>
          <w:iCs/>
        </w:rPr>
        <w:t xml:space="preserve">Altiplano</w:t>
      </w:r>
      <w:r>
        <w:t xml:space="preserve">; literary spatiality; manuage; drawing as research.</w:t>
      </w:r>
    </w:p>
    <w:bookmarkStart w:id="11" w:name="X94b173b7fb504ed78693e654fa32ba243fe5226"/>
    <w:p>
      <w:pPr>
        <w:pStyle w:val="Heading2"/>
      </w:pPr>
      <w:r>
        <w:t xml:space="preserve">1. Introducción: la cosecha de piedras y la anatomía del habitar</w:t>
      </w:r>
    </w:p>
    <w:p>
      <w:pPr>
        <w:pStyle w:val="FirstParagraph"/>
      </w:pPr>
      <w:r>
        <w:t xml:space="preserve">En Jatun-Kolla, el ayllu aymara que Raúl Botelho Gosálvez asienta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paradoja es exacta: lo cosechado es el obstáculo; la tierra</w:t>
      </w:r>
      <w:r>
        <w:t xml:space="preserve"> </w:t>
      </w:r>
      <w:r>
        <w:rPr>
          <w:i/>
          <w:iCs/>
        </w:rPr>
        <w:t xml:space="preserve">pare</w:t>
      </w:r>
      <w:r>
        <w:t xml:space="preserve"> </w:t>
      </w:r>
      <w:r>
        <w:t xml:space="preserve">lo que impide sembrar; la utopía del ayllu tiene forma de montón. Habitar empieza por despejar, y su producto es un residuo que cambia de oficio: con esas piedras se hicieron «los cimientos y paredes de las chujllas» (ibid.: 8); con ellas cubre Juan Condori a su compañera muerta: «amontonó piedras sobre el cadáver» (ibid.: 35); en la mina, Condori acarrea cascotes hasta que, asesinado, lo sepulta «un informe montón de rocas, lodo y maderos astillados» (ibid.: 154). Pirca, casa, tumba, escombro: el montón es la arquitectura mínima de</w:t>
      </w:r>
      <w:r>
        <w:t xml:space="preserve"> </w:t>
      </w:r>
      <w:r>
        <w:rPr>
          <w:i/>
          <w:iCs/>
        </w:rPr>
        <w:t xml:space="preserve">Altiplano</w:t>
      </w:r>
      <w:r>
        <w:t xml:space="preserve">, aquella en que habitar y enterrar se vuelven indiscernibles. Adolf Loos concedía al arte una parte ínfima de la arquitectura —el sepulcro y el monumento— y la ilustraba con un túmulo hallado en el bosque, ante el cual algo nos dice que allí yace alguien (Loos, 1972 [1910]). Kenneth Frampton, siguiendo a Semper, distingue la estereotomía del basamento, masa formada por «apilamiento repetitivo de elementos pesados», «ya sea piedra o adobe», de la tectónica del armazón, que ensambla «componentes ligeros y lineales» (Frampton, 1995: 5). El túmulo y la cosecha de piedras son estereotomía sin edificio: masa que no aloja a nadie, salvo a un muerto. La tensión entre la piedra que pesa y la madera que ata recorre la novela de la chujlla al socavón.</w:t>
      </w:r>
    </w:p>
    <w:p>
      <w:pPr>
        <w:pStyle w:val="BodyText"/>
      </w:pPr>
      <w:r>
        <w:t xml:space="preserve">¿Qué saber sobre el habitar produce</w:t>
      </w:r>
      <w:r>
        <w:t xml:space="preserve"> </w:t>
      </w:r>
      <w:r>
        <w:rPr>
          <w:i/>
          <w:iCs/>
        </w:rPr>
        <w:t xml:space="preserve">Altiplano</w:t>
      </w:r>
      <w:r>
        <w:t xml:space="preserve"> </w:t>
      </w:r>
      <w:r>
        <w:t xml:space="preserve">cuando se la lee siguiendo sus piedras? ¿Y qué añade un dibujo hecho con una materia —el pastel al óleo— que, como el comunario, trabaja acumulando y extrayendo? Sostenemos que la novela piensa el habitar como manipulación de la piedra (despejar, amontonar, cercar, cubrir, excavar) y el despojo como la captura de esa manipulación por una red de personas, instituciones, papeles y máquinas; y que el dibujo, al repetir esas operaciones con otra materia, somete a prueba lo que la novela sabe y lo que su narrador impone.</w:t>
      </w:r>
    </w:p>
    <w:p>
      <w:pPr>
        <w:pStyle w:val="BodyText"/>
      </w:pPr>
      <w:r>
        <w:t xml:space="preserve">Porque hay un narrador, y no es inocente. Publicada en Buenos Aires en 1945, la novela se cita aquí por una reedición paceña de 1982 cuya nota editorial asegura que Jatun-Kolla «es, en realidad, Warisata» y que su autor «ama al indio» (Botelho Gosálvez, 1982 [1945]: 5). Declinamos las dos lecturas que ese paratexto pide, la documental y la redentora: la novela es una representación mediada, cuyo narrador letrado denuncia el despojo mientras animaliza, sexualiza y petrifica a quienes describe. Describe las casas como cuerpos —las chozas son «verrugas en la piel sarmentosa del altiplano» (ibid.: 10)— y los cuerpos como terrenos: un minero exhibe sus «pobres costillas zafadas como surcos» (ibid.: 145). Leer el habitar exige, pues, una anatomía, y el dibujo, como la disección, es uno de sus instrumentos.</w:t>
      </w:r>
    </w:p>
    <w:p>
      <w:pPr>
        <w:pStyle w:val="BodyText"/>
      </w:pPr>
      <w:r>
        <w:t xml:space="preserve">El cruce entre análisis literario, espacialidad crítica y dibujo tiene tres razones. La ficción es un archivo de saber espacial: nuestra cultura guarda «una comprensión espacial y arquitectónica sin explotar», cuyo sitio «está en sus ficciones» (Shonfield, 2000: 173, cit. en Martin, 2014: 7)</w:t>
      </w:r>
      <w:r>
        <w:rPr>
          <w:rStyle w:val="FootnoteReference"/>
        </w:rPr>
        <w:footnoteReference w:id="10"/>
      </w:r>
      <w:r>
        <w:t xml:space="preserve">, y en</w:t>
      </w:r>
      <w:r>
        <w:t xml:space="preserve"> </w:t>
      </w:r>
      <w:r>
        <w:rPr>
          <w:i/>
          <w:iCs/>
        </w:rPr>
        <w:t xml:space="preserve">Altiplano</w:t>
      </w:r>
      <w:r>
        <w:t xml:space="preserve">, como en el cine de Lynch, «la arquitectura es la historia» (Martin, 2014: 13). La crítica histórica del espacio obliga a no proyectar categorías del presente, y el dibujo, que debe decidir punto de vista, escala y límite, vuelve explícitas esas proyecciones. Y si dibujar es manuaje (Cárcamo Pino, 2025b: 244), dibujar una novela es leerla con otro órgano. El recorrido sigue una progresión de escalas —vivienda y ayllu (sección 3), aldea (4), éxodo (5), cuerpo (6), retorno (7)—; en ella se sitúan los seis pasteles de la serie, de los que se reproduce el esquema de encaje (figuras 1-6). Se trata de una investigación ⟦en desarrollo / concluida⟧.</w:t>
      </w:r>
    </w:p>
    <w:bookmarkEnd w:id="11"/>
    <w:bookmarkStart w:id="12" w:name="X713fac2515e54d183f2fd80c72ec66ccf1f380f"/>
    <w:p>
      <w:pPr>
        <w:pStyle w:val="Heading2"/>
      </w:pPr>
      <w:r>
        <w:t xml:space="preserve">2. Del espacio abstracto al manuaje de la lectura (marco teórico-metodológico)</w:t>
      </w:r>
    </w:p>
    <w:p>
      <w:pPr>
        <w:pStyle w:val="FirstParagraph"/>
      </w:pPr>
      <w:r>
        <w:t xml:space="preserve">El espacio es un concepto moderno: lo formularon historiadores del arte entre 1893 y 1914, y los arquitectos lo adoptaron después de 1950. Es un tema «esencialmente moderno y, como tal, movedizo y, sobre todo, abstracto», que «no habla sobre la arquitectura, sino sobre nosotros» (Vázquez Ramos et al., 2023: 4). De ahí la advertencia de Edward T. Hall contra quienes «proyectan sobre el mundo visual del pasado las estructuras del mundo visual del presente» (Hall, 1973: 133, cit. en ibid.: 3). Vale dos veces: para nosotros, que no debemos atribuir al ayllu una idea de espacio que la novela no formula —sus categorías son la piedra, la pirca, el mojón, el título—, y para el narrador, que proyecta sobre Jatun-Kolla la sociología urbana: los Villca «son la burguesía usurpadora»; los Condori, Mamani y Quispe, «el proletariado campesino» (Botelho Gosálvez, 1982 [1945]: 22).</w:t>
      </w:r>
    </w:p>
    <w:p>
      <w:pPr>
        <w:pStyle w:val="BodyText"/>
      </w:pPr>
      <w:r>
        <w:t xml:space="preserve">La genealogía del concepto sirve también como instrumento. Alberti llamaba</w:t>
      </w:r>
      <w:r>
        <w:t xml:space="preserve"> </w:t>
      </w:r>
      <w:r>
        <w:rPr>
          <w:i/>
          <w:iCs/>
        </w:rPr>
        <w:t xml:space="preserve">área</w:t>
      </w:r>
      <w:r>
        <w:t xml:space="preserve"> </w:t>
      </w:r>
      <w:r>
        <w:t xml:space="preserve">a «un cierto espacio […] perfectamente delimitado», rodeado por un muro, y concebía el edificio como un cuerpo «compuesto por edificios menores, que son como sus miembros, unidos y articulados entre sí» (Alberti, 2011: 147, cit. en Vázquez Ramos et al., 2023: 5); la tradición entendió la arquitectura como composición de partes hasta bien entrado el siglo XX (Vázquez Ramos et al., 2023: 5-8). Schmarsow invirtió el peso en 1893: de la caverna al Reichstag, todas las arquitecturas serían «construcciones espaciales (</w:t>
      </w:r>
      <w:r>
        <w:rPr>
          <w:i/>
          <w:iCs/>
        </w:rPr>
        <w:t xml:space="preserve">Raumgebilde</w:t>
      </w:r>
      <w:r>
        <w:t xml:space="preserve">)» (Schmarsow, 1994: 286, cit. en ibid.: 6).</w:t>
      </w:r>
      <w:r>
        <w:t xml:space="preserve"> </w:t>
      </w:r>
      <w:r>
        <w:rPr>
          <w:i/>
          <w:iCs/>
        </w:rPr>
        <w:t xml:space="preserve">Altiplano</w:t>
      </w:r>
      <w:r>
        <w:t xml:space="preserve"> </w:t>
      </w:r>
      <w:r>
        <w:t xml:space="preserve">se sitúa del lado de Alberti: su mundo está hecho de partes —piedras, muros, miembros— y su violencia se ejerce contra su articulación. Worringer da una clave para leer al narrador: en la abstracción geométrica, «la emancipación de la accidentalidad y temporalidad que rigen el panorama universal encuentra su expresión acabada» (Worringer, 1953: 56, cit. en ibid.: 7). Cuando el narrador atribuye a los comunarios una «voluntad de siglos de piedra» (Botelho Gosálvez, 1982 [1945]: 156), practica esa abstracción: los emancipa de la historia; los petrifica.</w:t>
      </w:r>
    </w:p>
    <w:p>
      <w:pPr>
        <w:pStyle w:val="BodyText"/>
      </w:pPr>
      <w:r>
        <w:t xml:space="preserve">La piedra andina es otra. Para los incas, muestra Carolyn Dean, la petrificación «señalaba la suspensión, pero no el fin, de la vida» (Dean, 2010: 5), y las</w:t>
      </w:r>
      <w:r>
        <w:t xml:space="preserve"> </w:t>
      </w:r>
      <w:r>
        <w:rPr>
          <w:i/>
          <w:iCs/>
        </w:rPr>
        <w:t xml:space="preserve">wank’a</w:t>
      </w:r>
      <w:r>
        <w:t xml:space="preserve"> </w:t>
      </w:r>
      <w:r>
        <w:t xml:space="preserve">eran rocas entendidas como «los dueños petrificados de los lugares» —campos, valles, aldeas— que, situadas en el lugar que poseían, eran «símbolo de ocupación y posesión» (ibid.: 44).</w:t>
      </w:r>
      <w:r>
        <w:t xml:space="preserve"> </w:t>
      </w:r>
      <w:r>
        <w:rPr>
          <w:i/>
          <w:iCs/>
        </w:rPr>
        <w:t xml:space="preserve">Huanca</w:t>
      </w:r>
      <w:r>
        <w:t xml:space="preserve"> </w:t>
      </w:r>
      <w:r>
        <w:t xml:space="preserve">es una grafía colonial de</w:t>
      </w:r>
      <w:r>
        <w:t xml:space="preserve"> </w:t>
      </w:r>
      <w:r>
        <w:rPr>
          <w:i/>
          <w:iCs/>
        </w:rPr>
        <w:t xml:space="preserve">wank’a</w:t>
      </w:r>
      <w:r>
        <w:t xml:space="preserve">, usada también como nombre de varón (ibid.: 44, 202, n. 86). La novela no tematiza esa ontología, pero la lleva en un apellido: fuera de su lugar, el «organismo de piedra del Kollasuyo» de Paulo Huanca (Botelho Gosálvez, 1982 [1945]: 133) no persiste como piedra viva, sino que se derrite «como muñeco de cera» (ibid.: 123). La</w:t>
      </w:r>
      <w:r>
        <w:t xml:space="preserve"> </w:t>
      </w:r>
      <w:r>
        <w:rPr>
          <w:i/>
          <w:iCs/>
        </w:rPr>
        <w:t xml:space="preserve">wank’a</w:t>
      </w:r>
      <w:r>
        <w:t xml:space="preserve"> </w:t>
      </w:r>
      <w:r>
        <w:t xml:space="preserve">es piedra con dueño y con lugar; la del narrador, abstracción.</w:t>
      </w:r>
    </w:p>
    <w:p>
      <w:pPr>
        <w:pStyle w:val="BodyText"/>
      </w:pPr>
      <w:r>
        <w:t xml:space="preserve">La tríada de Henri Lefebvre ordena esta materia sin abstraerla: la</w:t>
      </w:r>
      <w:r>
        <w:t xml:space="preserve"> </w:t>
      </w:r>
      <w:r>
        <w:rPr>
          <w:i/>
          <w:iCs/>
        </w:rPr>
        <w:t xml:space="preserve">práctica espacial</w:t>
      </w:r>
      <w:r>
        <w:t xml:space="preserve"> </w:t>
      </w:r>
      <w:r>
        <w:t xml:space="preserve">(lo percibido); la</w:t>
      </w:r>
      <w:r>
        <w:t xml:space="preserve"> </w:t>
      </w:r>
      <w:r>
        <w:rPr>
          <w:i/>
          <w:iCs/>
        </w:rPr>
        <w:t xml:space="preserve">representación del espacio</w:t>
      </w:r>
      <w:r>
        <w:t xml:space="preserve"> </w:t>
      </w:r>
      <w:r>
        <w:t xml:space="preserve">de técnicos y arquitectos (lo concebido), «el espacio dominante en cualquier sociedad»; y el</w:t>
      </w:r>
      <w:r>
        <w:t xml:space="preserve"> </w:t>
      </w:r>
      <w:r>
        <w:rPr>
          <w:i/>
          <w:iCs/>
        </w:rPr>
        <w:t xml:space="preserve">espacio de representación</w:t>
      </w:r>
      <w:r>
        <w:t xml:space="preserve"> </w:t>
      </w:r>
      <w:r>
        <w:t xml:space="preserve">(lo vivido), «vivido directamente a través de sus imágenes y símbolos asociados» por habitantes, usuarios y algunos artistas y escritores (Lefebvre, 1991: 38, cit. en Vázquez Ramos et al., 2023: 13). En</w:t>
      </w:r>
      <w:r>
        <w:t xml:space="preserve"> </w:t>
      </w:r>
      <w:r>
        <w:rPr>
          <w:i/>
          <w:iCs/>
        </w:rPr>
        <w:t xml:space="preserve">Altiplano</w:t>
      </w:r>
      <w:r>
        <w:t xml:space="preserve">, lo percibido es despejar, arar, pastorear, emigrar; lo concebido, el título, el mojón, la ordenanza con su «radio urbano» (Botelho Gosálvez, 1982 [1945]: 96); lo vivido, el cerro que es «una especie de padre del ayllu» (ibid.: 8), la Pachamama, la apacheta, el Tío de la mina. La novela pertenece al tercer orden y describe los otros dos; el dibujo, también.</w:t>
      </w:r>
    </w:p>
    <w:p>
      <w:pPr>
        <w:pStyle w:val="BodyText"/>
      </w:pPr>
      <w:r>
        <w:t xml:space="preserve">¿Con qué leer, entonces? Con las manos, a condición de no oponerlas al papel. Mauricio Cárcamo Pino llama</w:t>
      </w:r>
      <w:r>
        <w:t xml:space="preserve"> </w:t>
      </w:r>
      <w:r>
        <w:rPr>
          <w:i/>
          <w:iCs/>
        </w:rPr>
        <w:t xml:space="preserve">manuaje</w:t>
      </w:r>
      <w:r>
        <w:t xml:space="preserve"> </w:t>
      </w:r>
      <w:r>
        <w:t xml:space="preserve">al conjunto de prácticas manuales que «se funda en la acción bimanual in-tensionada y los efectos de ello sobre la materia para comunicar (o autocomunicarse), expresar o inteligenciar» (Cárcamo Pino, 2019: 1412, cit. en Cárcamo Pino, 2025b: 244). No es solo escribir o dibujar, sino un «largo etcétera que incluye hacer malabares, cocinar, tocar piano o simplemente acariciar» (Cárcamo Pino, 2025b: 245, a partir de Salazar Sánchez y Cárcamo Pino, 2021: 1482). La escritura es una acción manugráfica más, y cada ámbito tiene su</w:t>
      </w:r>
      <w:r>
        <w:t xml:space="preserve"> </w:t>
      </w:r>
      <w:r>
        <w:rPr>
          <w:i/>
          <w:iCs/>
        </w:rPr>
        <w:t xml:space="preserve">manoaje</w:t>
      </w:r>
      <w:r>
        <w:t xml:space="preserve">, «un subgrupo contextual de acciones manuales» (Cárcamo Pino, 2025b: 259). La precisión evita la oposición maniquea entre la mano que ara y el papel que despoja, que en</w:t>
      </w:r>
      <w:r>
        <w:t xml:space="preserve"> </w:t>
      </w:r>
      <w:r>
        <w:rPr>
          <w:i/>
          <w:iCs/>
        </w:rPr>
        <w:t xml:space="preserve">Altiplano</w:t>
      </w:r>
      <w:r>
        <w:t xml:space="preserve"> </w:t>
      </w:r>
      <w:r>
        <w:t xml:space="preserve">enuncia el poder: en Umacachi, los vecinos niegan la escuela a los indios —«Que tiren palotes con el arado» (Botelho Gosálvez, 1982 [1945]: 87)—, y repetir el binarismo sería repetir su lógica. La cuestión es qué manoajes se autorizan y qué instituciones los respaldan; o, con la justicia epistémica que reclama Cárcamo Pino, qué prácticas corporales quedaron «minusvaloradas, invisibilizadas» por el «monopolio de la escritura y el lenguaje» (Cárcamo Pino, 2025b: 259).</w:t>
      </w:r>
    </w:p>
    <w:p>
      <w:pPr>
        <w:pStyle w:val="BodyText"/>
      </w:pPr>
      <w:r>
        <w:t xml:space="preserve">Dos corolarios. Si, como dice Alfonso Corona Martínez, «cada arquitectura lleva las marcas de los medios por los que ha sido proyectada» (Corona Martínez, 2009 [1990]: 50, cit. en Cárcamo Pino, 2025a: 12), la arquitectura del despojo llevará las del expediente, el sello y la firma, y la lectura dibujada, las del pastel. Y si, con Luigi Pareyson, crear «es formar y formar artísticamente,</w:t>
      </w:r>
      <w:r>
        <w:t xml:space="preserve"> </w:t>
      </w:r>
      <w:r>
        <w:t xml:space="preserve">“es un puro intentar”</w:t>
      </w:r>
      <w:r>
        <w:t xml:space="preserve"> </w:t>
      </w:r>
      <w:r>
        <w:t xml:space="preserve">sin norma previa y fruto de una acción formante que inventa</w:t>
      </w:r>
      <w:r>
        <w:t xml:space="preserve"> </w:t>
      </w:r>
      <w:r>
        <w:rPr>
          <w:i/>
          <w:iCs/>
        </w:rPr>
        <w:t xml:space="preserve">in situ</w:t>
      </w:r>
      <w:r>
        <w:t xml:space="preserve"> </w:t>
      </w:r>
      <w:r>
        <w:t xml:space="preserve">el modo de formar» (Pareyson, 2002: 18, cit. en Cárcamo Pino, 2025b: 246), ningún método es receta: lo que un pastel descubre no puede escribirse del todo antes de dibujarlo.</w:t>
      </w:r>
    </w:p>
    <w:p>
      <w:pPr>
        <w:pStyle w:val="BodyText"/>
      </w:pPr>
      <w:r>
        <w:t xml:space="preserve">Para el método, Simon Lundberg propone explorar la imagen arquitectónica «más allá del uso instrumental de la representación» en cuatro pasos: observación («representar edificios reales»), disección («desarmar y analizar»), ensamblaje («modificar, distorsionar, juntar») e inmersión («hacer creíble, animar») (Lundberg, 2019: 3). La</w:t>
      </w:r>
      <w:r>
        <w:t xml:space="preserve"> </w:t>
      </w:r>
      <w:r>
        <w:rPr>
          <w:i/>
          <w:iCs/>
        </w:rPr>
        <w:t xml:space="preserve">observación</w:t>
      </w:r>
      <w:r>
        <w:t xml:space="preserve"> </w:t>
      </w:r>
      <w:r>
        <w:t xml:space="preserve">extrae coordenadas textuales —lugar, materia, medida, luz, color— hasta formar una «biblioteca de observaciones» (ibid.: 15): aquí, un fichero de pasajes con su página. La</w:t>
      </w:r>
      <w:r>
        <w:t xml:space="preserve"> </w:t>
      </w:r>
      <w:r>
        <w:rPr>
          <w:i/>
          <w:iCs/>
        </w:rPr>
        <w:t xml:space="preserve">disección</w:t>
      </w:r>
      <w:r>
        <w:t xml:space="preserve"> </w:t>
      </w:r>
      <w:r>
        <w:t xml:space="preserve">aísla las partes —«¿Qué son estos objetos? ¿Cuáles son sus agendas?» (ibid.: 18)— y las ordena en cuatro relaciones tectónicas: apoyo, vano, masa y límite (Cuadro 1). El</w:t>
      </w:r>
      <w:r>
        <w:t xml:space="preserve"> </w:t>
      </w:r>
      <w:r>
        <w:rPr>
          <w:i/>
          <w:iCs/>
        </w:rPr>
        <w:t xml:space="preserve">ensamblaje</w:t>
      </w:r>
      <w:r>
        <w:t xml:space="preserve"> </w:t>
      </w:r>
      <w:r>
        <w:t xml:space="preserve">las recompone como el</w:t>
      </w:r>
      <w:r>
        <w:t xml:space="preserve"> </w:t>
      </w:r>
      <w:r>
        <w:rPr>
          <w:i/>
          <w:iCs/>
        </w:rPr>
        <w:t xml:space="preserve">capriccio</w:t>
      </w:r>
      <w:r>
        <w:t xml:space="preserve"> </w:t>
      </w:r>
      <w:r>
        <w:t xml:space="preserve">de Canaletto, ciudad «completamente imaginaria» hecha con edificios de ciudades distintas (ibid.: 3). La</w:t>
      </w:r>
      <w:r>
        <w:t xml:space="preserve"> </w:t>
      </w:r>
      <w:r>
        <w:rPr>
          <w:i/>
          <w:iCs/>
        </w:rPr>
        <w:t xml:space="preserve">inmersión</w:t>
      </w:r>
      <w:r>
        <w:t xml:space="preserve"> </w:t>
      </w:r>
      <w:r>
        <w:t xml:space="preserve">produce atmósfera, pero no ha de confundirse «con el realismo visual» (ibid.: 21). Observación y disección se cumplen sobre el texto; ensamblaje e inmersión, en el pastel al óleo, pigmento en cera y aceite que no seca: se acumula, se funde con los dedos, se raspa, se disuelve.</w:t>
      </w:r>
    </w:p>
    <w:p>
      <w:pPr>
        <w:pStyle w:val="BodyText"/>
      </w:pPr>
      <w:r>
        <w:t xml:space="preserve">La técnica responde a una prosa que mide el espacio con el cuerpo: en la jaula,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«término paraguas» que abarca el tacto, la cinestesia, la propiocepción y el sentido vestibular (Garrington, 2013: 16). A una prosa háptica corresponde una lectura háptica: el pastel se trabaja por contacto. Cada figura se examina en tres planos: (1) lo que describe el texto; (2) la operación formal y matérica del pastel; (3) el hallazgo que surge al contrastarlos, verificable en el esquema de encaje de cada figura.</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2"/>
    <w:bookmarkStart w:id="19" w:name="X251c9f95157e67160e2c0ce0dd1cf22009a9bd4"/>
    <w:p>
      <w:pPr>
        <w:pStyle w:val="Heading2"/>
      </w:pPr>
      <w:r>
        <w:t xml:space="preserve">3. La chujlla y el entorno lítico: el habitáculo somático frente al despojo</w:t>
      </w:r>
    </w:p>
    <w:p>
      <w:pPr>
        <w:pStyle w:val="FirstParagraph"/>
      </w:pPr>
      <w:r>
        <w:t xml:space="preserve">El ayllu se presenta desde lo alto, como en un plano de situación: en la falda del cerro, «las chujllas de las familias más antiguas han trepado en los riscos del cerro y desde allí parecen ocupar un sitio de preeminencia sobre el resto de chozas» (Botelho Gosálvez, 1982 [1945]: 6).</w:t>
      </w:r>
      <w:r>
        <w:t xml:space="preserve"> </w:t>
      </w:r>
      <w:r>
        <w:rPr>
          <w:i/>
          <w:iCs/>
        </w:rPr>
        <w:t xml:space="preserve">Parecen</w:t>
      </w:r>
      <w:r>
        <w:t xml:space="preserve">: la preeminencia es una lectura del narrador sobre la pendiente, no un dato de la pendiente.</w:t>
      </w:r>
    </w:p>
    <w:p>
      <w:pPr>
        <w:pStyle w:val="BodyText"/>
      </w:pPr>
      <w:r>
        <w:t xml:space="preserve">La chujlla de los Huanca da la medida del habitáculo: dos metros de alto, paredes «renegridas por el hollín», camastros de «apenas la altura de un adobe» y, de las vigas «mal unidas con lazos de paja trenzada», las herramientas colgadas (ibid.: 30-31). Reúne así los dos modos de Frampton: muros de piedra y adobe, y un armazón atado como una cestería (Frampton, 1995: 5). Se mide con el cuerpo y guarda los instrumentos de sus manos: es una caja de herramientas, que Cárcamo Pino equipara a un repertorio de manuaje (Cárcamo Pino, 2025a: 12). Guarda también su interrupción: tras la peste, los telares parecen «extraños armatostes de madera abandonados» (Botelho Gosálvez, 1982 [1945]: 29); el lado tectónico, el del tejido, es el primero que se pierde. El narrador, en cambio, entra como intruso —los camastros son «morada de piojos y pulgas» (ibid.: 31)—, como el habitante de la casa de Loos que Beatriz Colomina describe como «un intruso en su propio espacio» (Colomina, 1992: 95, cit. en Martin, 2014: 66), solo que este intruso no habita: escribe. Para Bachelard, la casa «protege al soñador» (Bachelard, 1994 [1958]: 6, cit. en Martin, 2014: 63), y el nido, «una cosa precaria», hace soñar la seguridad (Bachelard, 1994 [1958]: 102, cit. en Martin, 2014: 71); para el narrador, la chujlla es una madriguera. Su umbral es, como en toda casa de Loos, «un punto de máxima tensión» (Colomina, 1994: 276, cit. en Martin, 2014: 88): desde el «portal de su chujlla» mira Paulo Huanca partir a los hijos que la escasez expulsa (Botelho Gosálvez, 1982 [1945]: 34).</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dos metros de altura, fuego central, herramientas colgadas de las vigas (ibid.: 8, 30-31) y, en el techo, un crucifijo con «una pequeña huaca de barro cocido» (ibid.: 10). (2)</w:t>
      </w:r>
      <w:r>
        <w:t xml:space="preserve"> </w:t>
      </w:r>
      <w:r>
        <w:rPr>
          <w:i/>
          <w:iCs/>
        </w:rPr>
        <w:t xml:space="preserve">Operación</w:t>
      </w:r>
      <w:r>
        <w:t xml:space="preserve">. Corte a la altura del cuerpo sentado junto al brasero. El soporte se cubre de negro y siena —el hollín— y la luz se obtiene por extracción: el esgrafiado abre en la masa oscura vigas, hoces y yugo, como el comunario abre la tierra quitándole piedras; los muros van en empaste; el humo, con el dedo. El corte toma el perfil de un cráneo: la bóveda de paja como calota, la puerta como órbita, el fuego en el lugar del pensamiento. (3)</w:t>
      </w:r>
      <w:r>
        <w:t xml:space="preserve"> </w:t>
      </w:r>
      <w:r>
        <w:rPr>
          <w:i/>
          <w:iCs/>
        </w:rPr>
        <w:t xml:space="preserve">Hallazgo</w:t>
      </w:r>
      <w:r>
        <w:t xml:space="preserve">. Obligado a elegir punto de vista y escala, el dibujo adopta los del cuerpo que habita, no los del narrador: la chujlla aparece como cráneo bachelardiano, bóveda que protege lo que piensa, y como archivo del manoaje familiar. Los sueños quedan fuera: el narrador admite que en el alma de los comunarios, «en su secreto, nadie podía entrar» (ibid.: 65).</w:t>
      </w:r>
    </w:p>
    <w:p>
      <w:pPr>
        <w:pStyle w:val="Figura"/>
      </w:pPr>
      <w:r>
        <w:drawing>
          <wp:inline>
            <wp:extent cx="5039999" cy="2867142"/>
            <wp:effectExtent b="0" l="0" r="0" t="0"/>
            <wp:docPr descr="" title="" id="14" name="Picture"/>
            <a:graphic>
              <a:graphicData uri="http://schemas.openxmlformats.org/drawingml/2006/picture">
                <pic:pic>
                  <pic:nvPicPr>
                    <pic:cNvPr descr="figuras/figura_1.png" id="15" name="Picture"/>
                    <pic:cNvPicPr>
                      <a:picLocks noChangeArrowheads="1" noChangeAspect="1"/>
                    </pic:cNvPicPr>
                  </pic:nvPicPr>
                  <pic:blipFill>
                    <a:blip r:embed="rId13"/>
                    <a:stretch>
                      <a:fillRect/>
                    </a:stretch>
                  </pic:blipFill>
                  <pic:spPr bwMode="auto">
                    <a:xfrm>
                      <a:off x="0" y="0"/>
                      <a:ext cx="5039999" cy="2867142"/>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Los Villca inventan genealogías imperiales porque «necesitaban aquel blasón para sustentar su orgullo y su riqueza» (ibid.: 28): el mito funciona como título. La memoria misma se escalona: la de los Villca es «edificante y fantástica»; los peones «no tienen historia», salvo tres palabras: «¡hambre, persecución y muerte!» (ibid.: 22-23). El capítulo «El signo escalonado» cierra con la fórmula «Así los Villca, Huanca y Condori, son las generaciones del Signo Escalonado» (ibid.: 38), y el glosario define el término como «Signo sagrado de Tiwanaco» (ibid.: 163): el narrador convierte un signo sagrado en diagrama de clases, un caso de manual de la advertencia de Hall.</w:t>
      </w:r>
    </w:p>
    <w:p>
      <w:pPr>
        <w:pStyle w:val="BodyText"/>
      </w:pPr>
      <w:r>
        <w:t xml:space="preserve">El mismo capítulo narra el despojo de Kero-Pata, el ayllu de origen de Juan Condori, cuyos comunarios habían estado «amparados por las Cédulas Reales» hasta que, con la República, «los doctores alto-peruanos les birlaron la tierra» (ibid.: 36). El papel protegió y el papel despojó, mediante una red: una hectárea pagada al cura por unos responsos pasa a un doctor; intendente y corregidor toman posesión; tras «una gran cuestión de títulos, papel sellado y pago de impuestos», el doctor obtiene veinte hectáreas, porque «así lo declaraban los papeles del Gobierno». Frente a la iglesia levanta su hacienda: «La religión y la propiedad quedaron frente a frente, guiñándose con sus ventanucos empolvados» (ibid.: 36-37). Los edificios son cómplices.</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(ibid.: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proyecciones en una hoja: el cerro en sección, escalonado por acumulación de empastes; el catastro en planta, incidido con punzón en la cera. La mancha del dedo es manuaje «en sentido fuerte», de «emisiones manugráficas con baja o nula escrituralidad» (Cárcamo Pino, 2025b: 259); la incisión, manugrafía de alta escrituralidad. Entre signo y mapa media una operación, no un órgano. (3)</w:t>
      </w:r>
      <w:r>
        <w:t xml:space="preserve"> </w:t>
      </w:r>
      <w:r>
        <w:rPr>
          <w:i/>
          <w:iCs/>
        </w:rPr>
        <w:t xml:space="preserve">Hallazgo</w:t>
      </w:r>
      <w:r>
        <w:t xml:space="preserve">. Dibujado sobre la pendiente, el signo no encaja: el peón ocupa un escalón alto, y los Villca bajarán al pesebre de la aldea; en los Yungas, los «graderíos» del cocal (Botelho Gosálvez, 1982 [1945]: 112) y, en la mina, el campamento (ibid.: 135) rehacen la escalera. El signo es un operador recursivo de dominación que cada territorio vuelve a escalonar, no una identidad fija. Mito y mapa no se oponen: ambos escalonan.</w:t>
      </w:r>
    </w:p>
    <w:p>
      <w:pPr>
        <w:pStyle w:val="Figura"/>
      </w:pPr>
      <w:r>
        <w:drawing>
          <wp:inline>
            <wp:extent cx="4679999" cy="3786545"/>
            <wp:effectExtent b="0" l="0" r="0" t="0"/>
            <wp:docPr descr="" title="" id="17" name="Picture"/>
            <a:graphic>
              <a:graphicData uri="http://schemas.openxmlformats.org/drawingml/2006/picture">
                <pic:pic>
                  <pic:nvPicPr>
                    <pic:cNvPr descr="figuras/figura_2.png" id="18" name="Picture"/>
                    <pic:cNvPicPr>
                      <a:picLocks noChangeArrowheads="1" noChangeAspect="1"/>
                    </pic:cNvPicPr>
                  </pic:nvPicPr>
                  <pic:blipFill>
                    <a:blip r:embed="rId16"/>
                    <a:stretch>
                      <a:fillRect/>
                    </a:stretch>
                  </pic:blipFill>
                  <pic:spPr bwMode="auto">
                    <a:xfrm>
                      <a:off x="0" y="0"/>
                      <a:ext cx="4679999" cy="3786545"/>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19"/>
    <w:bookmarkStart w:id="20" w:name="X00cd535bb73b3e228c9be016a5a02025a5951ae"/>
    <w:p>
      <w:pPr>
        <w:pStyle w:val="Heading2"/>
      </w:pPr>
      <w:r>
        <w:t xml:space="preserve">4. El espacio concebido y la trampa de la letra: Umacachi</w:t>
      </w:r>
    </w:p>
    <w:p>
      <w:pPr>
        <w:pStyle w:val="FirstParagraph"/>
      </w:pPr>
      <w:r>
        <w:t xml:space="preserve">Umacachi es una sucesión de ocupaciones: tambo incaico, iglesia y fuerte coloniales y, con la República, la decisión de «situar la Sub-prefectura, el Municipio y la Policía donde antes aposentaba la reducida guarnición hispana» (Botelho Gosálvez, 1982 [1945]: 83). Cada régimen se aloja en la cáscara del anterior: es el espacio concebido en su versión aldeana.</w:t>
      </w:r>
    </w:p>
    <w:p>
      <w:pPr>
        <w:pStyle w:val="BodyText"/>
      </w:pPr>
      <w:r>
        <w:t xml:space="preserve">Allí opera el Alcalde vitalicio, el doctor Margarito Mendoza, «con el fajo de expedientes bajo el brazo», diestro en «tejer obscuras mallas de términos seudo jurídicos»; los tinterillos «urden pleitos por nada» (ibid.: 86). Una arqueología etimológica a la manera de Cárcamo Pino enlaza ese vocabulario con el resto de la novela:</w:t>
      </w:r>
      <w:r>
        <w:t xml:space="preserve"> </w:t>
      </w:r>
      <w:r>
        <w:rPr>
          <w:i/>
          <w:iCs/>
        </w:rPr>
        <w:t xml:space="preserve">texto</w:t>
      </w:r>
      <w:r>
        <w:t xml:space="preserve"> </w:t>
      </w:r>
      <w:r>
        <w:t xml:space="preserve">viene de</w:t>
      </w:r>
      <w:r>
        <w:t xml:space="preserve"> </w:t>
      </w:r>
      <w:r>
        <w:rPr>
          <w:i/>
          <w:iCs/>
        </w:rPr>
        <w:t xml:space="preserve">textus</w:t>
      </w:r>
      <w:r>
        <w:t xml:space="preserve">, tejido, y</w:t>
      </w:r>
      <w:r>
        <w:t xml:space="preserve"> </w:t>
      </w:r>
      <w:r>
        <w:rPr>
          <w:i/>
          <w:iCs/>
        </w:rPr>
        <w:t xml:space="preserve">urdir</w:t>
      </w:r>
      <w:r>
        <w:t xml:space="preserve"> </w:t>
      </w:r>
      <w:r>
        <w:t xml:space="preserve">nombra a la vez la urdimbre del telar y la maquinación; las tejedoras Huanca pasan la lanzadera «a través de la delicada malla» y los varones hacen «bonita urdimbre de surcos» (ibid.: 29). Escribir, tejer y arar comparten el vocabulario de la mano: la novela no opone la mano a la letra, sino unos manoajes a otros. Tampoco reduce el despojo a un villano: corregidor, alcalde, intendente y cura son «cuatro patas de la bestia opresora del puneño» (ibid.: 13), y «cinco gendarmes indios» arrastran a Vicente Villca al patio donde lo azotan (ibid.: 101).</w:t>
      </w:r>
    </w:p>
    <w:p>
      <w:pPr>
        <w:pStyle w:val="BodyText"/>
      </w:pPr>
      <w:r>
        <w:t xml:space="preserve">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La trampa es geométrica —un radio trazado sobre el papel convierte el corral en encierro— y es manual: está firmada. Un mapa catastral, observa James C. Scott, «no se limita a describir un sistema de tenencia de la tierra; lo crea», porque da a sus categorías «la fuerza de la ley» (Scott, 2020 [1998]: 3). El radio hace lo mismo con el ganado, como los papeles de Kero-Pata con la tierra, y lee con sesgo: a los mestizos «no les alcanzaba la Ordenanza» (Botelho Gosálvez, 1982 [1945]: 102). Los animales de los indios, tasados «a ojo de buen cubero», se esfuman por el «embudo» de una finca del Alcalde (ibid.), y la fortuna de los Villca se reduce «a mil seiscientos bolivianos en papel» (ibid.: 103).</w:t>
      </w:r>
    </w:p>
    <w:p>
      <w:pPr>
        <w:pStyle w:val="BodyText"/>
      </w:pPr>
      <w:r>
        <w:t xml:space="preserve">La letra, además, pesa. En el cuartucho del tinterillo al que Vicente consulta hay «una mugrienta mesa con un tintero y un desordenado montón de papeles y libracos encima» (ibid.) —otra vez el montón—, y el letrado tasa la defensa por tonelaje: señala «un Código Penal en infolio y un manual del Procedimiento Civil», afirma que el grande «tiene más peso legal y jurídico que el chiquitito» y cobra en consecuencia: «seiscientos bolivianos, la mitad adelantados» (ibid.: 104). Una propiedad física del libro se vuelve argumento de autoridad y, enseguida, precio. Es un manuaje burocrático: el tinterillo no escribe; señala, compara y cuenta billetes. El escritorio que Cárcamo Pino sitúa en el mismo repertorio que la caja de herramientas (2025a: 12) funciona aquí como instrumento de cobro, y lo que se cobra es una lectura: la del derecho de propiedad moderno, mediado por el Estado, que según Scott solo resulta «fácilmente descifrable» para quienes tienen «la formación suficiente» y dominan sus leyes (Scott, 2020 [1998]: 35-36). Vicente no puede leer ese código, pero lee a quien lo vende —«estos tinterillos son de una sola casta y todos obran con una mala fe del demonio» (Botelho Gosálvez, 1982 [1945]: 104)— y rechaza la defensa. La consulta se cobra con una amenaza —«te encierro por conspirar contra la autoridad municipal»—: Vicente desata de su faja «un atado de pobres y traposos billetes», paga, rechaza una segunda oferta y sale «libre ya de la amenaza del letrado» (ibid.: 105). La escena no enfrenta a un indio sin juicio con la escritura: articula la materia del libro, un argumento fraudulento, el juicio del personaje y la coerción que convierte su negativa en deuda.</w:t>
      </w:r>
    </w:p>
    <w:p>
      <w:pPr>
        <w:pStyle w:val="BodyText"/>
      </w:pPr>
      <w:r>
        <w:t xml:space="preserve">La aldea ya ha hecho su obra: dos niños mueren de hambre y los entierran «allí mismo, bajo el suelo del pesebre, para evitar el pago al cura y el municipio» (ibid.: 106). Lo siniestro, dice Freud, remite «a lo que alguna vez fue bien conocido y familiar» (Freud, 2003 [1919]: 124, cit. en Martin, 2014: 64); de la casa familiar a la casa embrujada, añade Vidler, «hay un solo pasaje» (Vidler, 1992: 32, cit. en Martin, 2014: 99). Aquí, ese pasaje es un pesebre «donde el viento entraba por todas partes» (Botelho Gosálvez, 1982 [1945]: 105): refugio, jaula y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la aldea los alojó como a animales de casa.</w:t>
      </w:r>
    </w:p>
    <w:bookmarkEnd w:id="20"/>
    <w:bookmarkStart w:id="27" w:name="X316919c11f290d2302a6e670109a22877329181"/>
    <w:p>
      <w:pPr>
        <w:pStyle w:val="Heading2"/>
      </w:pPr>
      <w:r>
        <w:t xml:space="preserve">5. Las derivas biomecánicas del éxodo (Yungas y socavón)</w:t>
      </w:r>
    </w:p>
    <w:p>
      <w:pPr>
        <w:pStyle w:val="FirstParagraph"/>
      </w:pPr>
      <w:r>
        <w:t xml:space="preserve">El éxodo a los Yungas empieza en un umbral: «Tras de la muralla que condena el horizonte del altiplano empieza el yunga» (Botelho Gosálvez, 1982 [1945]: 108). En la apacheta, el viento sacude el poncho de Paulo Huanca «como un gallardete clavado en la ceja de la apacheta», su familia reza de rodillas y las cumbres se alzan «semejantes a fantásticas construcciones góticas» (ibid.: 109): otra proyección del narrador, que mira la cordillera con la arquitectura de Europa.</w:t>
      </w:r>
    </w:p>
    <w:p>
      <w:pPr>
        <w:pStyle w:val="BodyText"/>
      </w:pPr>
      <w:r>
        <w:t xml:space="preserve">Del otro lado, el cuerpo del puneño deriva. Su manoaje no se traslada —«Sabrás arar en la puna, pero aquí esa es otra música» (ibid.: 113)—; Paulo se consume «derritiéndose como muñeco de cera» (ibid.: 123), el mayordomo lo despide desde «el vano de la puerta» (ibid.: 126) y, en el aserradero, el contratista esgrime una amputación —«No hace dos días que uno de ustedes se ha cercenado una mano en la sierra»— y solo lo anota en la planilla cuando Paulo se ofrece como «peón, siquiera» (ibid.: 129): la mutilación se vuelve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que traslada a la muchacha, como venta, la violencia que empieza en el patrón. Su padre jura que fue un crimen, pero «las pruebas eran irrefutables» (ibid.): la palabra</w:t>
      </w:r>
      <w:r>
        <w:t xml:space="preserve"> </w:t>
      </w:r>
      <w:r>
        <w:rPr>
          <w:i/>
          <w:iCs/>
        </w:rPr>
        <w:t xml:space="preserve">crimen</w:t>
      </w:r>
      <w:r>
        <w:t xml:space="preserve">, que el narrador reserva para la muerte de Condori (ibid.: 154), no alcanza al patrón, y la única agencia que concede a la mano de la muchacha es el suicidio. La única travesía lograda la hacen los monos, que tienden sobre el río «una cadena cogiéndose de manos» (ibid.: 121): una arquitectura de manos, la de la braquiación que, según Cárcamo Pino, impuso a la mano primate «una gran carga sobre la capacidad de control cinestésico y de cálculo espacial» (Cárcamo Pino, 2025a: 8).</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Un umbral sin piedras: el glosario define la apacheta como «abra de las cordilleras y cumbre de los caminos» (Botelho Gosálvez, 1982 [1945]: 160), un lugar y no un montón; la novela la marca con un cuerpo erguido, la familia arrodillada, la «fauce» del yunga y las cumbres «góticas» (ibid.: 109) y, más abajo, el puente de monos (ibid.: 121). (2)</w:t>
      </w:r>
      <w:r>
        <w:t xml:space="preserve"> </w:t>
      </w:r>
      <w:r>
        <w:rPr>
          <w:i/>
          <w:iCs/>
        </w:rPr>
        <w:t xml:space="preserve">Operación</w:t>
      </w:r>
      <w:r>
        <w:t xml:space="preserve">. Formato apaisado partido por la cresta: del lado de la puna, pastel seco sobre papel de grano grueso, que asoma como piedra; del lado del yunga, pastel disuelto en veladuras que chorrean. En la cresta, una técnica se vuelve la otra: es el punto de máxima tensión de la hoja. (3)</w:t>
      </w:r>
      <w:r>
        <w:t xml:space="preserve"> </w:t>
      </w:r>
      <w:r>
        <w:rPr>
          <w:i/>
          <w:iCs/>
        </w:rPr>
        <w:t xml:space="preserve">Hallazgo</w:t>
      </w:r>
      <w:r>
        <w:t xml:space="preserve">. Partida la hoja, los Yungas dejan de ser otro paisaje y se vuelven un cambio de estado de la materia y de la mano: la cera se funde como Paulo, «muñeco de cera» (ibid.: 123),</w:t>
      </w:r>
      <w:r>
        <w:t xml:space="preserve"> </w:t>
      </w:r>
      <w:r>
        <w:rPr>
          <w:i/>
          <w:iCs/>
        </w:rPr>
        <w:t xml:space="preserve">wank’a</w:t>
      </w:r>
      <w:r>
        <w:t xml:space="preserve"> </w:t>
      </w:r>
      <w:r>
        <w:t xml:space="preserve">fuera de su lugar. Y el puente de manos se opone al vano por el que se expulsa: lo único que cruza el abismo es colectivo y está hecho de manos.</w:t>
      </w:r>
    </w:p>
    <w:p>
      <w:pPr>
        <w:pStyle w:val="Figura"/>
      </w:pPr>
      <w:r>
        <w:drawing>
          <wp:inline>
            <wp:extent cx="5039999" cy="2826782"/>
            <wp:effectExtent b="0" l="0" r="0" t="0"/>
            <wp:docPr descr="" title="" id="22" name="Picture"/>
            <a:graphic>
              <a:graphicData uri="http://schemas.openxmlformats.org/drawingml/2006/picture">
                <pic:pic>
                  <pic:nvPicPr>
                    <pic:cNvPr descr="figuras/figura_3.png" id="23" name="Picture"/>
                    <pic:cNvPicPr>
                      <a:picLocks noChangeArrowheads="1" noChangeAspect="1"/>
                    </pic:cNvPicPr>
                  </pic:nvPicPr>
                  <pic:blipFill>
                    <a:blip r:embed="rId21"/>
                    <a:stretch>
                      <a:fillRect/>
                    </a:stretch>
                  </pic:blipFill>
                  <pic:spPr bwMode="auto">
                    <a:xfrm>
                      <a:off x="0" y="0"/>
                      <a:ext cx="5039999" cy="2826782"/>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reproduce la escalera, de los chalets de ingenieros al «enjambre de cuchitriles de calamina» de los mineros (ibid.: 135). La empresa inscribe a Condori —«Tomaron su identidad e impresiones digitales» (ibid.: 140)— y la mano del comunario entra en el archivo como huella: es su primera firma. La mano que lee el mundo, recuerda Garrington, «también puede ser leída», y leída para establecer la identidad de su dueño (Garrington, 2013: 2): la compañía vuelve legible al peón, en el sentido de Scott, antes de bajarlo. El capataz le anuncia el retorno de la cosecha: «Aquí cosecharás miles de cargas de estaño» (Botelho Gosálvez, 1982 [1945]: 142).</w:t>
      </w:r>
    </w:p>
    <w:p>
      <w:pPr>
        <w:pStyle w:val="BodyText"/>
      </w:pPr>
      <w:r>
        <w:t xml:space="preserve">Se baja en jaula: en la entrada, los huecos de las jaulas se miran en el muro «como dos enormes nichos», y en una de ellas siete hombres van «apeñuscados contra la rejilla» (ibid.: 141-143). Martin ve a las figuras de Bacon «luchando por afirmarse dentro de estructuras semejantes a jaulas» (Martin, 2014: 84); en</w:t>
      </w:r>
      <w:r>
        <w:t xml:space="preserve"> </w:t>
      </w:r>
      <w:r>
        <w:rPr>
          <w:i/>
          <w:iCs/>
        </w:rPr>
        <w:t xml:space="preserve">Altiplano</w:t>
      </w:r>
      <w:r>
        <w:t xml:space="preserve">, la jaula es literal. Abajo, Condori hace el trabajo del ayllu: acarrea cascotes para abrir «un boquete» hacia el plano «450» (Botelho Gosálvez, 1982 [1945]: 144). La galería invierte la chujlla: la masa se excava y un armazón de madera la contiene, pero en el «450», que «se derrumbaba en algunos pasos», «recién ponían el revestimiento de callapos» (ibid.: 145). Cuando la galería se inunda, la empresa baja «rieles, maderos, dinamita, hombres» (ibid.: 151): la materia, «especialmente la carne humana, está sometida a la maquinaria» (Martin, 2014: 25). El agua mide el cuerpo —tobillos, rodillas, cintura, ombligo (Botelho Gosálvez, 1982 [1945]: 145, 152-153)— y, cuando Condori intenta retroceder, el ingeniero Williams «le abrió un boquete en la cabeza» (ibid.: 153): el sustantivo de la roca. Luego «quebróse la viga del techo» —cede el armazón y la masa recobra su peso—, el derrumbe sepulta a todos y «nadie sospechó el crimen» (ibid.: 154). La mina es una heterotopía, capaz de «yuxtaponer en un solo lugar real varios espacios» (Foucault, 1986 [1967]: 25, cit. en Martin, 2014: 137): la cosecha, la tumba, la gruta de la Virgen (Botelho Gosálvez, 1982 [1945]: 136), las ofrendas a los dioses de la mina (ibid.: 149) y unos jardines de salitre (ibid.: 135) que compensan con su orden el desorden del mundo (Foucault, 1986 [1967]: 27, cit. en Martin, 2014: 138).</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Formato vertical: arriba, la torre incidida como encaje y el desmonte por el que se entra a la mina (ibid.: 140); debajo, el pique y los niveles «300», «350» y «450», pisos de un edificio invertido; los siete cuerpos de la jaula, hechos con el dedo, sin línea, y la rejilla esgrafiada encima, como el marco que, en la lectura que Martin hace de Deleuze, «ejerce una fuerza sobre la figura central, aislando un cuerpo suspendido» (Martin, 2014: 85); al fondo, pastel disuelto que sube por los cuerpos como el agua. (3)</w:t>
      </w:r>
      <w:r>
        <w:t xml:space="preserve"> </w:t>
      </w:r>
      <w:r>
        <w:rPr>
          <w:i/>
          <w:iCs/>
        </w:rPr>
        <w:t xml:space="preserve">Hallazgo</w:t>
      </w:r>
      <w:r>
        <w:t xml:space="preserve">. Superpuestas, la escalera de la superficie y los niveles subterráneos muestran la mina como doble invertido del ayllu: el mismo gesto —despejar y apilar piedras— capturado por una máquina que lo vuelve mercancía y vuelve material al cuerpo. La montaña de piedras soñada más alta que el cerro (Botelho Gosálvez, 1982 [1945]: 9) crece, pero como desmonte: el cascote se iza «a la superficie» (ibid.: 144).</w:t>
      </w:r>
    </w:p>
    <w:p>
      <w:pPr>
        <w:pStyle w:val="Figura"/>
      </w:pPr>
      <w:r>
        <w:drawing>
          <wp:inline>
            <wp:extent cx="3241558" cy="4679999"/>
            <wp:effectExtent b="0" l="0" r="0" t="0"/>
            <wp:docPr descr="" title="" id="25" name="Picture"/>
            <a:graphic>
              <a:graphicData uri="http://schemas.openxmlformats.org/drawingml/2006/picture">
                <pic:pic>
                  <pic:nvPicPr>
                    <pic:cNvPr descr="figuras/figura_4.png" id="26" name="Picture"/>
                    <pic:cNvPicPr>
                      <a:picLocks noChangeArrowheads="1" noChangeAspect="1"/>
                    </pic:cNvPicPr>
                  </pic:nvPicPr>
                  <pic:blipFill>
                    <a:blip r:embed="rId24"/>
                    <a:stretch>
                      <a:fillRect/>
                    </a:stretch>
                  </pic:blipFill>
                  <pic:spPr bwMode="auto">
                    <a:xfrm>
                      <a:off x="0" y="0"/>
                      <a:ext cx="3241558" cy="467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7"/>
    <w:bookmarkStart w:id="34" w:name="X4736e9544cd7b6d8f6a7d7e712e0e951ea82080"/>
    <w:p>
      <w:pPr>
        <w:pStyle w:val="Heading2"/>
      </w:pPr>
      <w:r>
        <w:t xml:space="preserve">6. La carne en el espacio de la catástrofe: Francis Bacon en Jatun-Kolla</w:t>
      </w:r>
    </w:p>
    <w:p>
      <w:pPr>
        <w:pStyle w:val="FirstParagraph"/>
      </w:pPr>
      <w:r>
        <w:t xml:space="preserve">La sequía se narra con vocabulario de arquitectura y de dibujo: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 Martin encuentra en Bacon y en Lynch «la idea de la humanidad como un animal enjaulado en un entorno ilimitado» (Martin, 2014: 85): la llanura sin límite se vuelve jaula, y el cerco se cerrará alrededor de un hombre.</w:t>
      </w:r>
    </w:p>
    <w:p>
      <w:pPr>
        <w:pStyle w:val="BodyText"/>
      </w:pPr>
      <w:r>
        <w:t xml:space="preserve">El yatiri Basilio Quispe es acusado de la sequía; de sus ropas caen «dos muñequitos de lana» atravesados por una espina (Botelho Gosálvez, 1982 [1945]: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Tres lecturas se superponen. La de Alberti, invertida: el cuerpo, edificio de miembros «unidos y articulados», se descompone y se reparte en el territorio. La de Bacon: en</w:t>
      </w:r>
      <w:r>
        <w:t xml:space="preserve"> </w:t>
      </w:r>
      <w:r>
        <w:rPr>
          <w:i/>
          <w:iCs/>
        </w:rPr>
        <w:t xml:space="preserve">Crucifixión</w:t>
      </w:r>
      <w:r>
        <w:t xml:space="preserve"> </w:t>
      </w:r>
      <w:r>
        <w:t xml:space="preserve">(1965), dos jueces examinan «las manipulaciones de la carne» (Martin, 2014: 85), como la comunidad y el lector ante la de Basilio, y la escena da la impresión de que «una catástrofe sobrevino al lienzo» (Deleuze, 2003 [1981]: 100, cit. en Martin, 2014: 84). Y la de la</w:t>
      </w:r>
      <w:r>
        <w:t xml:space="preserve"> </w:t>
      </w:r>
      <w:r>
        <w:rPr>
          <w:i/>
          <w:iCs/>
        </w:rPr>
        <w:t xml:space="preserve">kenchería</w:t>
      </w:r>
      <w:r>
        <w:t xml:space="preserve">, «mal de ojo, brujería» (Botelho Gosálvez, 1982 [1945]: 162): la espina de la muñeca reaparece en la carne; la efigie actúa. El narrador animaliza a la multitud, sexualiza la furia de Justina y hace del lector un juez de tribuna; por eso la serie no dibuja el linchamiento: un pastel de ese cuerpo sería otra efigie.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(ibid.: 66); las vacas famélicas muestran «las nalgas abiertas a la manera de una luna menguante» (ibid.: 64). (2)</w:t>
      </w:r>
      <w:r>
        <w:t xml:space="preserve"> </w:t>
      </w:r>
      <w:r>
        <w:rPr>
          <w:i/>
          <w:iCs/>
        </w:rPr>
        <w:t xml:space="preserve">Operación</w:t>
      </w:r>
      <w:r>
        <w:t xml:space="preserve">. El cielo queda en papel desnudo: la sequía como ausencia de pincelada. La cuenca seca de las vertientes (ibid.: 58) se dibuja como pelvis —la cadera del ganado vuelta luna menguante— en blanco hueso sobre tierra de sombra, agrietada por raspado. (3)</w:t>
      </w:r>
      <w:r>
        <w:t xml:space="preserve"> </w:t>
      </w:r>
      <w:r>
        <w:rPr>
          <w:i/>
          <w:iCs/>
        </w:rPr>
        <w:t xml:space="preserve">Hallazgo</w:t>
      </w:r>
      <w:r>
        <w:t xml:space="preserve">. Que la tierra sea femenina no es invención del narrador: en la creencia andina, la Pachamama es femenina y las montañas suelen ser masculinas (Dean, 2010: 68), como el cerro «padre del ayllu» (Botelho Gosálvez, 1982 [1945]: 8). Suyo es el registro: tierra que «abortó en plena gestación» (ibid.: 66) y, al final, «hembra paridora» (ibid.: 159); hasta el ayllu vacío es un «solar histérico, infecundo» (ibid.: 79), de</w:t>
      </w:r>
      <w:r>
        <w:t xml:space="preserve"> </w:t>
      </w:r>
      <w:r>
        <w:rPr>
          <w:i/>
          <w:iCs/>
        </w:rPr>
        <w:t xml:space="preserve">hystéra</w:t>
      </w:r>
      <w:r>
        <w:t xml:space="preserve">, útero. Dibujada como pelvis, cintura ósea que soporta cargas y no receptáculo, la metáfora pasa del sexo a la tectónica y expone su costo: la alegoría absorbe a las mujeres reales, de Melchora Mamani (ibid.: 35) a la hija sin nombre de Paulo Huanca.</w:t>
      </w:r>
    </w:p>
    <w:p>
      <w:pPr>
        <w:pStyle w:val="Figura"/>
      </w:pPr>
      <w:r>
        <w:drawing>
          <wp:inline>
            <wp:extent cx="5039999" cy="2741869"/>
            <wp:effectExtent b="0" l="0" r="0" t="0"/>
            <wp:docPr descr="" title="" id="29" name="Picture"/>
            <a:graphic>
              <a:graphicData uri="http://schemas.openxmlformats.org/drawingml/2006/picture">
                <pic:pic>
                  <pic:nvPicPr>
                    <pic:cNvPr descr="figuras/figura_5.png" id="30" name="Picture"/>
                    <pic:cNvPicPr>
                      <a:picLocks noChangeArrowheads="1" noChangeAspect="1"/>
                    </pic:cNvPicPr>
                  </pic:nvPicPr>
                  <pic:blipFill>
                    <a:blip r:embed="rId28"/>
                    <a:stretch>
                      <a:fillRect/>
                    </a:stretch>
                  </pic:blipFill>
                  <pic:spPr bwMode="auto">
                    <a:xfrm>
                      <a:off x="0" y="0"/>
                      <a:ext cx="5039999" cy="274186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reclama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Nocturno vertical: tres figuras en el vano de la chujlla vacía, trazadas como postes o mojones, y el cayado como cuarto apoyo; alrededor, puertas batidas por el viento y los muertos que salían de la tierra «para mirar el cielo» (ibid.: 80), en veladuras de dedo. (3)</w:t>
      </w:r>
      <w:r>
        <w:t xml:space="preserve"> </w:t>
      </w:r>
      <w:r>
        <w:rPr>
          <w:i/>
          <w:iCs/>
        </w:rPr>
        <w:t xml:space="preserve">Hallazgo</w:t>
      </w:r>
      <w:r>
        <w:t xml:space="preserve">. El narrador llama a los vigías «cancerberos» y «muertos en vida» (ibid.), pero también «celadores y enfermeros» (ibid.: 79). Trazados como mojones, muestran la resistencia no como gesta —el discurso de Braulio fracasa—, sino como mantenimiento: quedarse, guardar, cuidar, un trabajo que hace el escalón más bajo del Signo en la casa del más alto. Anticipa así el final, donde otra atalaya, «la atalaya de la esperanza» (ibid.: 157), se negará a mirar hacia abajo.</w:t>
      </w:r>
    </w:p>
    <w:p>
      <w:pPr>
        <w:pStyle w:val="Figura"/>
      </w:pPr>
      <w:r>
        <w:drawing>
          <wp:inline>
            <wp:extent cx="3844929" cy="4679999"/>
            <wp:effectExtent b="0" l="0" r="0" t="0"/>
            <wp:docPr descr="" title="" id="32" name="Picture"/>
            <a:graphic>
              <a:graphicData uri="http://schemas.openxmlformats.org/drawingml/2006/picture">
                <pic:pic>
                  <pic:nvPicPr>
                    <pic:cNvPr descr="figuras/figura_6.png" id="33" name="Picture"/>
                    <pic:cNvPicPr>
                      <a:picLocks noChangeArrowheads="1" noChangeAspect="1"/>
                    </pic:cNvPicPr>
                  </pic:nvPicPr>
                  <pic:blipFill>
                    <a:blip r:embed="rId31"/>
                    <a:stretch>
                      <a:fillRect/>
                    </a:stretch>
                  </pic:blipFill>
                  <pic:spPr bwMode="auto">
                    <a:xfrm>
                      <a:off x="0" y="0"/>
                      <a:ext cx="3844929" cy="467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4"/>
    <w:bookmarkStart w:id="35" w:name="X7f256eca2840de5569f5aa15d34533f2e120cfb"/>
    <w:p>
      <w:pPr>
        <w:pStyle w:val="Heading2"/>
      </w:pPr>
      <w:r>
        <w:t xml:space="preserve">7. Reparación material y selección de la memoria: el retorno</w:t>
      </w:r>
    </w:p>
    <w:p>
      <w:pPr>
        <w:pStyle w:val="FirstParagraph"/>
      </w:pPr>
      <w:r>
        <w:t xml:space="preserve">Con las heladas vuelven los sobrevivientes: «en el dintel de Jatun-Kolla se detenían para ponerse de rodillas y besar el suelo» (Botelho Gosálvez, 1982 [1945]: 155). El ayllu tiene dintel: es una casa. Han muerto más de ciento cincuenta comunarios (ibid.: 156). La reparación es un trabajo de manos y de piedra: «Las chujllas fueron reparadas del estrago, las pircas de piedra que separan las parcelas fueron compuestas» (ibid.).</w:t>
      </w:r>
      <w:r>
        <w:t xml:space="preserve"> </w:t>
      </w:r>
      <w:r>
        <w:rPr>
          <w:i/>
          <w:iCs/>
        </w:rPr>
        <w:t xml:space="preserve">Compuestas</w:t>
      </w:r>
      <w:r>
        <w:t xml:space="preserve">: la composición de partes que la tratadística reservó al arquitecto reaparece como faena comunal. Y como ya no hay bueyes, «los mismos hombres eran quienes tiraban el arado» (ibid.): el cuerpo entero ocupa el lugar del animal muerto. El narrador vuelve a petrificar: trabajan «con una voluntad de siglos de piedra» (ibid.), la piedra de Worringer, no la de las</w:t>
      </w:r>
      <w:r>
        <w:t xml:space="preserve"> </w:t>
      </w:r>
      <w:r>
        <w:rPr>
          <w:i/>
          <w:iCs/>
        </w:rPr>
        <w:t xml:space="preserve">wank’a</w:t>
      </w:r>
      <w:r>
        <w:t xml:space="preserve">.</w:t>
      </w:r>
    </w:p>
    <w:p>
      <w:pPr>
        <w:pStyle w:val="BodyText"/>
      </w:pPr>
      <w:r>
        <w:t xml:space="preserve">La memoria del habitar se construye con la misma lógica.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edificar, y olvidar también. La selección tiene nombres: «Llegaron los Villca, los Huanca, los Huallpa, los Yupanqui, los Ticona, los Choque, los Chuquihuanca» (ibid.: 156); faltan los Condori, los Mamani y los Quispe, la «legión» sin tierra que cerraba la escalera del narrador (ibid.: 22). Juan Condori yace en el cementerio de los mineros; los miembros de Basilio Quispe, «en muchos sitios» (ibid.: 69). El Signo Escalonado se reconstruye sin su último escalón. Con la cosecha, los derrotados «olvidaron la pesadilla pasada», y la Pachamama recuperó «su prestigio de hembra paridora y múltiple» (ibid.: 159). La paz se paga con ese olvido.</w:t>
      </w:r>
    </w:p>
    <w:p>
      <w:pPr>
        <w:pStyle w:val="BodyText"/>
      </w:pPr>
      <w:r>
        <w:t xml:space="preserve">Ursula K. Le Guin opuso dos ficciones. La del arma tiene la forma de la flecha, que «comienza aquí y va recta hacia allí y ¡ZAS! da en su blanco (que cae muerto)»; la del recipiente, la de la bolsa: «Una novela es un botiquín, que contiene cosas en una relación particular, poderosa, entre sí, y con nosotros» (Le Guin, 2021 [1986]: 10). La mina es la ficción del arma: jornal doblado, propina, avance, revólver, boquete. El ayllu del retorno es la del acopio: la casa, «un recipiente para personas» (ibid.: 8), vuelve a guardar la cosecha y a reunir los nombres. Pero todo recipiente selecciona —el pesebre fue tumba; el ayllu reparado deja fuera a los sin tierra—, y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amplio.</w:t>
      </w:r>
    </w:p>
    <w:bookmarkEnd w:id="35"/>
    <w:bookmarkStart w:id="36" w:name="X1acb3b43dfc2cc943aac2ab8b2e6c8e3e0c7451"/>
    <w:p>
      <w:pPr>
        <w:pStyle w:val="Heading2"/>
      </w:pPr>
      <w:r>
        <w:t xml:space="preserve">8. Conclusiones: lo que el dibujo desvela y sus límites</w:t>
      </w:r>
    </w:p>
    <w:p>
      <w:pPr>
        <w:pStyle w:val="FirstParagraph"/>
      </w:pPr>
      <w:r>
        <w:t xml:space="preserve">La lectura permite sostener cuatro hallazgos. Primero: el montón de piedras es la arquitectura mínima de la novela, estereotomía sin edificio, y la cosecha de estaño que promete el capataz (Botelho Gosálvez, 1982 [1945]: 142) es la captura de ese gesto por la máquina. Segundo: el Signo Escalonado es un operador recursivo que ayllu, aldea, cocal y campamento vuelven a escalonar, y el retorno rehace la escalera sin su último escalón. Tercero: el despojo opera mediante una red de personas, instituciones y soportes —expediente, papel sellado, firma, radio urbano, infolio, huella dactilar— que vuelven legibles la tierra y los cuerpos; la oposición entre la mano y el papel es el discurso de la aldea, no la evidencia del texto. Cuarto: el narrador que denuncia el despojo animaliza, sexualiza y petrifica a sus víctimas —con una piedra abstracta, ajena a la</w:t>
      </w:r>
      <w:r>
        <w:t xml:space="preserve"> </w:t>
      </w:r>
      <w:r>
        <w:rPr>
          <w:i/>
          <w:iCs/>
        </w:rPr>
        <w:t xml:space="preserve">wank’a</w:t>
      </w:r>
      <w:r>
        <w:t xml:space="preserve">— y culmina su asimetría de género en la muchacha sin nombre.</w:t>
      </w:r>
    </w:p>
    <w:p>
      <w:pPr>
        <w:pStyle w:val="BodyText"/>
      </w:pPr>
      <w:r>
        <w:t xml:space="preserve">¿Qué desvela el dibujo? Ante todo, posiciones. Dibujar obliga a decidir lo que el texto deja abierto —desde dónde se mira, a qué escala, qué queda dentro y qué fuera—, y cada decisión expone la del narrador: fuera de la chujlla, en la tribuna del linchamiento, frente a las cumbres góticas. Las operaciones del pastel —acumular, extraer, manchar, incidir, disolver— repiten las que la novela ejerce sobre la materia: amontonar, despejar, pintar «manchones» (ibid.: 60, 156), escribir, derretirse. Leer con la mano no es ilustrar escenas, sino repetir operaciones; eso llamamos manuaje de la lectura, háptico como la prosa que lee. La formatividad advierte, con todo, que ningún esquema agota lo que la materia decide.</w:t>
      </w:r>
    </w:p>
    <w:p>
      <w:pPr>
        <w:pStyle w:val="BodyText"/>
      </w:pPr>
      <w:r>
        <w:t xml:space="preserve">Los límites son de tres órdenes. El primero es el de Hall: la sección, el</w:t>
      </w:r>
      <w:r>
        <w:t xml:space="preserve"> </w:t>
      </w:r>
      <w:r>
        <w:rPr>
          <w:i/>
          <w:iCs/>
        </w:rPr>
        <w:t xml:space="preserve">capriccio</w:t>
      </w:r>
      <w:r>
        <w:t xml:space="preserve">, Bacon, la tectónica de Semper y hasta la pelvis son estructuras visuales ajenas al mundo narrado; los dibujos hablan de la novela, no del ayllu ni de la espacialidad aymara, que exigirían otras fuentes y otros interlocutores. El segundo es ético: la inmersión seduce, y un pastel puede estetizar la miseria o fabricar efigies; de ahí la decisión de no dibujar el linchamiento ni los sueños que el narrador declara inaccesibles. El tercero es de método: el dibujo depende de las coordenadas del texto y hereda sus silencios; puede volverlos visibles, no suplirlos.</w:t>
      </w:r>
    </w:p>
    <w:p>
      <w:pPr>
        <w:pStyle w:val="BodyText"/>
      </w:pPr>
      <w:r>
        <w:t xml:space="preserve">Queda el montón. «Quizá un día la montaña de piedras sobrepase la altura del cerro», esperaban los comunarios (Botelho Gosálvez, 1982 [1945]: 9). La novela cumple la profecía por el revés: la montaña crece en el desmonte de la mina y en el «informe montón» que sepulta a Juan Condori (ibid.: 154). El dibujo no repara lo que la novela deja caer al foso; puede, a lo sumo,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36"/>
    <w:bookmarkStart w:id="37"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⟦o la autora⟧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ChatGPT (OpenAI), ⟦versión⟧, y Claude (Anthropic), ⟦versión⟧, asistentes de inteligencia artificial generativa. b)</w:t>
      </w:r>
      <w:r>
        <w:t xml:space="preserve"> </w:t>
      </w:r>
      <w:r>
        <w:rPr>
          <w:i/>
          <w:iCs/>
        </w:rPr>
        <w:t xml:space="preserve">Alcance</w:t>
      </w:r>
      <w:r>
        <w:t xml:space="preserve">: ChatGPT se empleó en la revisión conceptual del proyecto, el contraste de pasajes, la organización del argumento y el apoyo a la redacción ⟦ajustar⟧; Claude, en la lectura asistida de las fuentes, la localización y verificación de citas con su página, la redacción de borradores, el diseño del protocolo de dibujo y la elaboración de los esquemas de encaje reproducidos en las figuras 1 a 6 ⟦ajustar⟧. c)</w:t>
      </w:r>
      <w:r>
        <w:t xml:space="preserve"> </w:t>
      </w:r>
      <w:r>
        <w:rPr>
          <w:i/>
          <w:iCs/>
        </w:rPr>
        <w:t xml:space="preserve">Rol</w:t>
      </w:r>
      <w:r>
        <w:t xml:space="preserve">: el autor ⟦o la autora⟧ formuló el problema, el esquema del artículo y las cautelas críticas; decidió las interpretaciones; es autor ⟦o autora⟧ de los pasteles al óleo; revisó y reescribió los borradores, verificó las citas contra los originales y responde por la versión final.</w:t>
      </w:r>
    </w:p>
    <w:bookmarkEnd w:id="37"/>
    <w:bookmarkStart w:id="38" w:name="bibliografía"/>
    <w:p>
      <w:pPr>
        <w:pStyle w:val="Heading2"/>
      </w:pPr>
      <w:r>
        <w:t xml:space="preserve">Bibliografía</w:t>
      </w:r>
    </w:p>
    <w:p>
      <w:pPr>
        <w:pStyle w:val="FirstParagraph"/>
      </w:pPr>
      <w:r>
        <w:t xml:space="preserve">Alberti, Leon Battista (2011 [1452]).</w:t>
      </w:r>
      <w:r>
        <w:t xml:space="preserve"> </w:t>
      </w:r>
      <w:r>
        <w:rPr>
          <w:i/>
          <w:iCs/>
        </w:rPr>
        <w:t xml:space="preserve">Da arte edificatória</w:t>
      </w:r>
      <w:r>
        <w:t xml:space="preserve">. Lisboa: Fundação Calouste Gulbenkian.</w:t>
      </w:r>
    </w:p>
    <w:p>
      <w:pPr>
        <w:pStyle w:val="BodyText"/>
      </w:pPr>
      <w:r>
        <w:t xml:space="preserve">Bachelard, Gaston (1994 [1958]).</w:t>
      </w:r>
      <w:r>
        <w:t xml:space="preserve"> </w:t>
      </w:r>
      <w:r>
        <w:rPr>
          <w:i/>
          <w:iCs/>
        </w:rPr>
        <w:t xml:space="preserve">The Poetics of Space</w:t>
      </w:r>
      <w:r>
        <w:t xml:space="preserve">. Trad. Maria Jolas. Boston: Beacon Press.</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Colomina, Beatriz (1992).</w:t>
      </w:r>
      <w:r>
        <w:t xml:space="preserve"> </w:t>
      </w:r>
      <w:r>
        <w:t xml:space="preserve">“The Split Wall: Domestic Voyeurism”</w:t>
      </w:r>
      <w:r>
        <w:t xml:space="preserve">. En Beatriz Colomina (ed.),</w:t>
      </w:r>
      <w:r>
        <w:t xml:space="preserve"> </w:t>
      </w:r>
      <w:r>
        <w:rPr>
          <w:i/>
          <w:iCs/>
        </w:rPr>
        <w:t xml:space="preserve">Sexuality and Space</w:t>
      </w:r>
      <w:r>
        <w:t xml:space="preserve">. Nueva York: Princeton Architectural Press.</w:t>
      </w:r>
    </w:p>
    <w:p>
      <w:pPr>
        <w:pStyle w:val="BodyText"/>
      </w:pPr>
      <w:r>
        <w:t xml:space="preserve">Colomina, Beatriz (1994).</w:t>
      </w:r>
      <w:r>
        <w:t xml:space="preserve"> </w:t>
      </w:r>
      <w:r>
        <w:rPr>
          <w:i/>
          <w:iCs/>
        </w:rPr>
        <w:t xml:space="preserve">Privacy and Publicity: Modern Architecture as Mass Media</w:t>
      </w:r>
      <w:r>
        <w:t xml:space="preserve">. Cambridge, MA: MIT Press.</w:t>
      </w:r>
    </w:p>
    <w:p>
      <w:pPr>
        <w:pStyle w:val="BodyText"/>
      </w:pPr>
      <w:r>
        <w:t xml:space="preserve">Corona Martínez, Alfonso (2009 [1990]).</w:t>
      </w:r>
      <w:r>
        <w:t xml:space="preserve"> </w:t>
      </w:r>
      <w:r>
        <w:rPr>
          <w:i/>
          <w:iCs/>
        </w:rPr>
        <w:t xml:space="preserve">Ensayo sobre el proyecto</w:t>
      </w:r>
      <w:r>
        <w:t xml:space="preserve">. Buenos Aires: Nobuko.</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Deleuze, Gilles (2003 [1981]).</w:t>
      </w:r>
      <w:r>
        <w:t xml:space="preserve"> </w:t>
      </w:r>
      <w:r>
        <w:rPr>
          <w:i/>
          <w:iCs/>
        </w:rPr>
        <w:t xml:space="preserve">Francis Bacon: The Logic of Sensation</w:t>
      </w:r>
      <w:r>
        <w:t xml:space="preserve">. Trad. Daniel W. Smith. Londres: Continuum.</w:t>
      </w:r>
    </w:p>
    <w:p>
      <w:pPr>
        <w:pStyle w:val="BodyText"/>
      </w:pPr>
      <w:r>
        <w:t xml:space="preserve">Foucault, Michel (1986 [1967]).</w:t>
      </w:r>
      <w:r>
        <w:t xml:space="preserve"> </w:t>
      </w:r>
      <w:r>
        <w:t xml:space="preserve">“Of Other Spaces”</w:t>
      </w:r>
      <w:r>
        <w:t xml:space="preserve">. Trad. Jay Miskowiec.</w:t>
      </w:r>
      <w:r>
        <w:t xml:space="preserve"> </w:t>
      </w:r>
      <w:r>
        <w:rPr>
          <w:i/>
          <w:iCs/>
        </w:rPr>
        <w:t xml:space="preserve">Diacritics</w:t>
      </w:r>
      <w:r>
        <w:t xml:space="preserve">, 16(1): 22-27.</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Freud, Sigmund (2003 [1919]).</w:t>
      </w:r>
      <w:r>
        <w:t xml:space="preserve"> </w:t>
      </w:r>
      <w:r>
        <w:rPr>
          <w:i/>
          <w:iCs/>
        </w:rPr>
        <w:t xml:space="preserve">The Uncanny</w:t>
      </w:r>
      <w:r>
        <w:t xml:space="preserve">. Trad. David McLintock. Londres: Penguin.</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Lefebvre, Henri (1991 [1974]).</w:t>
      </w:r>
      <w:r>
        <w:t xml:space="preserve"> </w:t>
      </w:r>
      <w:r>
        <w:rPr>
          <w:i/>
          <w:iCs/>
        </w:rPr>
        <w:t xml:space="preserve">The Production of Space</w:t>
      </w:r>
      <w:r>
        <w:t xml:space="preserve">. Trad. Donald Nicholson-Smith. Oxford: Blackwell.</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Loos, Adolf (1972 [1910]).</w:t>
      </w:r>
      <w:r>
        <w:t xml:space="preserve"> </w:t>
      </w:r>
      <w:r>
        <w:t xml:space="preserve">“Arquitectura”</w:t>
      </w:r>
      <w:r>
        <w:t xml:space="preserve">. En</w:t>
      </w:r>
      <w:r>
        <w:t xml:space="preserve"> </w:t>
      </w:r>
      <w:r>
        <w:rPr>
          <w:i/>
          <w:iCs/>
        </w:rPr>
        <w:t xml:space="preserve">Ornamento y delito y otros escritos</w:t>
      </w:r>
      <w:r>
        <w:t xml:space="preserve">. Barcelona: Gustavo Gili.</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Pareyson, Luigi (2002 [1954]).</w:t>
      </w:r>
      <w:r>
        <w:t xml:space="preserve"> </w:t>
      </w:r>
      <w:r>
        <w:rPr>
          <w:i/>
          <w:iCs/>
        </w:rPr>
        <w:t xml:space="preserve">Estetica. Teoria della formatività</w:t>
      </w:r>
      <w:r>
        <w:t xml:space="preserve">. Milán: Bompiani.</w:t>
      </w:r>
    </w:p>
    <w:p>
      <w:pPr>
        <w:pStyle w:val="BodyText"/>
      </w:pPr>
      <w:r>
        <w:t xml:space="preserve">Salazar Sánchez, Cristian Gonzalo y Cárcamo Pino, Mauricio Arnoldo (2021).</w:t>
      </w:r>
      <w:r>
        <w:t xml:space="preserve"> </w:t>
      </w:r>
      <w:r>
        <w:t xml:space="preserve">“Acerca del</w:t>
      </w:r>
      <w:r>
        <w:t xml:space="preserve"> </w:t>
      </w:r>
      <w:r>
        <w:t xml:space="preserve">‘lenguaje’</w:t>
      </w:r>
      <w:r>
        <w:t xml:space="preserve"> </w:t>
      </w:r>
      <w:r>
        <w:t xml:space="preserve">de las manos (manuaje). Una conversación con Mauricio Cárcamo”</w:t>
      </w:r>
      <w:r>
        <w:t xml:space="preserve">.</w:t>
      </w:r>
      <w:r>
        <w:t xml:space="preserve"> </w:t>
      </w:r>
      <w:r>
        <w:rPr>
          <w:i/>
          <w:iCs/>
        </w:rPr>
        <w:t xml:space="preserve">Arte, Individuo y Sociedad</w:t>
      </w:r>
      <w:r>
        <w:t xml:space="preserve">, 33(4): 1481-1487.</w:t>
      </w:r>
    </w:p>
    <w:p>
      <w:pPr>
        <w:pStyle w:val="BodyText"/>
      </w:pPr>
      <w:r>
        <w:t xml:space="preserve">Schmarsow, August (1994 [1893]).</w:t>
      </w:r>
      <w:r>
        <w:t xml:space="preserve"> </w:t>
      </w:r>
      <w:r>
        <w:t xml:space="preserve">“The Essence of Architectural Creation”</w:t>
      </w:r>
      <w:r>
        <w:t xml:space="preserve">. En Harry Francis Mallgrave y Eleftherios Ikonomou (eds.),</w:t>
      </w:r>
      <w:r>
        <w:t xml:space="preserve"> </w:t>
      </w:r>
      <w:r>
        <w:rPr>
          <w:i/>
          <w:iCs/>
        </w:rPr>
        <w:t xml:space="preserve">Empathy, Form, and Space: Problems in German Aesthetics, 1873-1893</w:t>
      </w:r>
      <w:r>
        <w:t xml:space="preserve">. Los Ángeles: Getty Center for the History of Art and the Humanities: 281-297.</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Shonfield, Katherine (2000).</w:t>
      </w:r>
      <w:r>
        <w:t xml:space="preserve"> </w:t>
      </w:r>
      <w:r>
        <w:rPr>
          <w:i/>
          <w:iCs/>
        </w:rPr>
        <w:t xml:space="preserve">Walls Have Feelings: Architecture, Film and the City</w:t>
      </w:r>
      <w:r>
        <w:t xml:space="preserve">. Londres: Routledge.</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Vidler, Anthony (1992).</w:t>
      </w:r>
      <w:r>
        <w:t xml:space="preserve"> </w:t>
      </w:r>
      <w:r>
        <w:rPr>
          <w:i/>
          <w:iCs/>
        </w:rPr>
        <w:t xml:space="preserve">The Architectural Uncanny: Essays in the Modern Unhomely</w:t>
      </w:r>
      <w:r>
        <w:t xml:space="preserve">. Cambridge, MA: MIT Press.</w:t>
      </w:r>
    </w:p>
    <w:p>
      <w:pPr>
        <w:pStyle w:val="BodyText"/>
      </w:pPr>
      <w:r>
        <w:t xml:space="preserve">Worringer, Wilhelm (1953 [1908]).</w:t>
      </w:r>
      <w:r>
        <w:t xml:space="preserve"> </w:t>
      </w:r>
      <w:r>
        <w:rPr>
          <w:i/>
          <w:iCs/>
        </w:rPr>
        <w:t xml:space="preserve">Abstracción y naturaleza</w:t>
      </w:r>
      <w:r>
        <w:t xml:space="preserve">. México: Fondo de Cultura Económica.</w:t>
      </w:r>
    </w:p>
    <w:bookmarkEnd w:id="38"/>
    <w:bookmarkEnd w:id="39"/>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⟦Formación y grado académico⟧. ⟦Adscripción institucional⟧. ⟦Principales publicaciones⟧. Correo electrónico: ⟦correo⟧. ⟦Ciudad⟧, ⟦país⟧. (Máximo 100 palabras).</w:t>
      </w:r>
    </w:p>
  </w:footnote>
  <w:footnote w:id="10">
    <w:p>
      <w:pPr>
        <w:pStyle w:val="FootnoteText"/>
      </w:pPr>
      <w:r>
        <w:rPr>
          <w:rStyle w:val="FootnoteReference"/>
        </w:rPr>
        <w:footnoteRef/>
      </w:r>
      <w:r>
        <w:t xml:space="preserve"> </w:t>
      </w:r>
      <w:r>
        <w:t xml:space="preserve">Las traducciones de las citas en inglés y en portugués son nuestras.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16" Type="http://schemas.openxmlformats.org/officeDocument/2006/relationships/image" Target="media/rId1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1" Type="http://schemas.openxmlformats.org/officeDocument/2006/relationships/image" Target="media/rId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2026-09-25T20:11:10Z</dcterms:created>
  <dcterms:modified xsi:type="dcterms:W3CDTF">2026-09-25T20:11:10Z</dcterms:modified>
</cp:coreProperties>
</file>

<file path=docProps/custom.xml><?xml version="1.0" encoding="utf-8"?>
<Properties xmlns="http://schemas.openxmlformats.org/officeDocument/2006/custom-properties" xmlns:vt="http://schemas.openxmlformats.org/officeDocument/2006/docPropsVTypes"/>
</file>