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ca4e48fce14da14635596b00756476aaa8c3ea"/>
    <w:p>
      <w:pPr>
        <w:pStyle w:val="Heading1"/>
      </w:pPr>
      <w:r>
        <w:t xml:space="preserve">Topografías de la carne y el barro en</w:t>
      </w:r>
      <w:r>
        <w:t xml:space="preserve"> </w:t>
      </w:r>
      <w:r>
        <w:rPr>
          <w:i/>
          <w:iCs/>
        </w:rPr>
        <w:t xml:space="preserve">Altiplano</w:t>
      </w:r>
    </w:p>
    <w:p>
      <w:pPr>
        <w:pStyle w:val="FirstParagraph"/>
      </w:pPr>
      <w:r>
        <w:rPr>
          <w:b/>
          <w:bCs/>
        </w:rPr>
        <w:t xml:space="preserve">Topographies of Flesh and Mud in</w:t>
      </w:r>
      <w:r>
        <w:rPr>
          <w:b/>
          <w:bCs/>
        </w:rPr>
        <w:t xml:space="preserve"> </w:t>
      </w:r>
      <w:r>
        <w:rPr>
          <w:b/>
          <w:bCs/>
          <w:i/>
          <w:iCs/>
        </w:rPr>
        <w:t xml:space="preserve">Altiplano</w:t>
      </w:r>
    </w:p>
    <w:p>
      <w:pPr>
        <w:pStyle w:val="BodyText"/>
      </w:pPr>
      <w:r>
        <w:t xml:space="preserve">⟦Nombre y apellidos del autor o autora⟧</w:t>
      </w:r>
      <w:r>
        <w:rPr>
          <w:rStyle w:val="FootnoteReference"/>
        </w:rPr>
        <w:footnoteReference w:id="9"/>
      </w:r>
    </w:p>
    <w:p>
      <w:pPr>
        <w:pStyle w:val="BodyText"/>
      </w:pPr>
      <w:r>
        <w:rPr>
          <w:b/>
          <w:bCs/>
        </w:rPr>
        <w:t xml:space="preserve">Resumen</w:t>
      </w:r>
    </w:p>
    <w:p>
      <w:pPr>
        <w:pStyle w:val="BodyText"/>
      </w:pPr>
      <w:r>
        <w:t xml:space="preserve">Avance de una investigación en desarrollo, el artículo examina cómo</w:t>
      </w:r>
      <w:r>
        <w:t xml:space="preserve"> </w:t>
      </w:r>
      <w:r>
        <w:rPr>
          <w:i/>
          <w:iCs/>
        </w:rPr>
        <w:t xml:space="preserve">Altiplano</w:t>
      </w:r>
      <w:r>
        <w:t xml:space="preserve"> </w:t>
      </w:r>
      <w:r>
        <w:t xml:space="preserve">(1945), de Raúl Botelho Gosálvez, construye las posibilidades de habitar, permanecer y retirarse mediante relaciones entre cuerpos, materiales, trabajo y autoridad. Sigue tres trayectorias familiares —hacia la aldea, los Yungas y la mina— y el retorno al ayllu. Sostiene que la novela organiza el desamparo alterando el acceso a tierra, refugio, herramientas, salario y desplazamiento dentro y fuera de la comunidad, y que el retorno recompone la pertenencia con más trabajo corporal y memoria selectiva. Una exploración gráfica al pastel al óleo, aún en curso, acompaña la lectura.</w:t>
      </w:r>
    </w:p>
    <w:p>
      <w:pPr>
        <w:pStyle w:val="BodyText"/>
      </w:pPr>
      <w:r>
        <w:rPr>
          <w:b/>
          <w:bCs/>
        </w:rPr>
        <w:t xml:space="preserve">Palabras clave:</w:t>
      </w:r>
      <w:r>
        <w:t xml:space="preserve"> </w:t>
      </w:r>
      <w:r>
        <w:t xml:space="preserve">Botelho Gosálvez;</w:t>
      </w:r>
      <w:r>
        <w:t xml:space="preserve"> </w:t>
      </w:r>
      <w:r>
        <w:rPr>
          <w:i/>
          <w:iCs/>
        </w:rPr>
        <w:t xml:space="preserve">Altiplano</w:t>
      </w:r>
      <w:r>
        <w:t xml:space="preserve">; habitar; desamparo; exploración gráfica.</w:t>
      </w:r>
    </w:p>
    <w:p>
      <w:pPr>
        <w:pStyle w:val="BodyText"/>
      </w:pPr>
      <w:r>
        <w:rPr>
          <w:b/>
          <w:bCs/>
        </w:rPr>
        <w:t xml:space="preserve">Abstract</w:t>
      </w:r>
    </w:p>
    <w:p>
      <w:pPr>
        <w:pStyle w:val="BodyText"/>
      </w:pPr>
      <w:r>
        <w:t xml:space="preserve">Part of an ongoing research project, this article examines how</w:t>
      </w:r>
      <w:r>
        <w:t xml:space="preserve"> </w:t>
      </w:r>
      <w:r>
        <w:rPr>
          <w:i/>
          <w:iCs/>
        </w:rPr>
        <w:t xml:space="preserve">Altiplano</w:t>
      </w:r>
      <w:r>
        <w:t xml:space="preserve"> </w:t>
      </w:r>
      <w:r>
        <w:t xml:space="preserve">(1945), by Raúl Botelho Gosálvez, builds the possibilities of dwelling, staying and leaving through relations between bodies, materials, work and authority. It follows three family trajectories (to the town, the Yungas and the mine) and the return to the ayllu. It argues that the novel produces precarity by altering access to land, shelter, tools, wages and movement inside and outside the community, and that the return restores belonging through further bodily labour and selective memory. An ongoing graphic exploration in oil pastel accompanies the reading.</w:t>
      </w:r>
    </w:p>
    <w:p>
      <w:pPr>
        <w:pStyle w:val="BodyText"/>
      </w:pPr>
      <w:r>
        <w:rPr>
          <w:b/>
          <w:bCs/>
        </w:rPr>
        <w:t xml:space="preserve">Keywords:</w:t>
      </w:r>
      <w:r>
        <w:t xml:space="preserve"> </w:t>
      </w:r>
      <w:r>
        <w:t xml:space="preserve">Botelho Gosálvez;</w:t>
      </w:r>
      <w:r>
        <w:t xml:space="preserve"> </w:t>
      </w:r>
      <w:r>
        <w:rPr>
          <w:i/>
          <w:iCs/>
        </w:rPr>
        <w:t xml:space="preserve">Altiplano</w:t>
      </w:r>
      <w:r>
        <w:t xml:space="preserve">; dwelling; precarity; graphic exploration.</w:t>
      </w:r>
    </w:p>
    <w:bookmarkStart w:id="10" w:name="introducción"/>
    <w:p>
      <w:pPr>
        <w:pStyle w:val="Heading2"/>
      </w:pPr>
      <w:r>
        <w:t xml:space="preserve">1. Introducción</w:t>
      </w:r>
    </w:p>
    <w:p>
      <w:pPr>
        <w:pStyle w:val="FirstParagraph"/>
      </w:pPr>
      <w:r>
        <w:t xml:space="preserve">En Jatun-Kolla, el ayllu aymara que Raúl Botelho Gosálvez asienta «en la planta de una alta y rojiza peñería» (Botelho Gosálvez, 1982 [1945]: 6), la tierra de labranza no pasa de cien hectáreas; el resto es «erial de piedras». Los comunarios lo limpian cada año sin conseguirlo:</w:t>
      </w:r>
    </w:p>
    <w:p>
      <w:pPr>
        <w:pStyle w:val="BlockText"/>
      </w:pPr>
      <w:r>
        <w:t xml:space="preserve">A medida que extraen piedras y las amontonan, brotan más y más, como paridas por la tierra. ¡Piedras! El trabajo más duro, más reñido y tenaz en Jatun-Kolla, rinde cosecha de piedras. Pero no importa: quizá un día la montaña de piedras sobrepase la altura del cerro; entonces será buena la tierra rescatada (ibid.: 9).</w:t>
      </w:r>
    </w:p>
    <w:p>
      <w:pPr>
        <w:pStyle w:val="FirstParagraph"/>
      </w:pPr>
      <w:r>
        <w:t xml:space="preserve">Junto al pedregal, los comunarios miran «con triste y pacífica ambición» las tierras sin cultivar de la finca de Tarakota, cuyo dueño «vive emporcado en una ciudad del extranjero» (ibid.: 9-10). Habitar no es aquí un estado, sino una tarea: exige trabajo corporal sobre un suelo que rinde poco, y ese trabajo depende de cuánta tierra se tiene, de quién decide sobre ella y de lo que ocurre cuando el suelo deja de sostener a quienes lo trabajan.</w:t>
      </w:r>
    </w:p>
    <w:p>
      <w:pPr>
        <w:pStyle w:val="BodyText"/>
      </w:pPr>
      <w:r>
        <w:t xml:space="preserve">Nos preguntamos cómo construye</w:t>
      </w:r>
      <w:r>
        <w:t xml:space="preserve"> </w:t>
      </w:r>
      <w:r>
        <w:rPr>
          <w:i/>
          <w:iCs/>
        </w:rPr>
        <w:t xml:space="preserve">Altiplano</w:t>
      </w:r>
      <w:r>
        <w:t xml:space="preserve"> </w:t>
      </w:r>
      <w:r>
        <w:t xml:space="preserve">las posibilidades de habitar, permanecer y retirarse mediante las relaciones entre cuerpos, materiales, trabajo y autoridad, y qué relaciones y límites de esa construcción permite examinar una lectura acompañada por dibujos al pastel al óleo. Sostenemos que la novela produce el desamparo alterando, escena tras escena, las condiciones que sostienen la vida: el acceso a la tierra y al refugio, el uso de herramientas, el salario y la posibilidad de desplazarse. Esas condiciones se degradan dentro y fuera del ayllu, de modo que el relato no confirma la oposición entre una comunidad protectora y un exterior destructivo que su narrador sugiere a menudo. El retorno repone la pertenencia a costa de más trabajo corporal y de un recuerdo seleccionado.</w:t>
      </w:r>
    </w:p>
    <w:p>
      <w:pPr>
        <w:pStyle w:val="BodyText"/>
      </w:pPr>
      <w:r>
        <w:t xml:space="preserve">El título nombra dos materias que la novela pone a trabajar: la carne de los cuerpos que aran, cargan, enferman y son heridos, y la de los animales que la aldea requisa; y el barro del adobe, de las paredes de palizada y del lodo de la mina. El narrador tiende a fundirlas —de los comunarios dice que «la tierra es su carne, su sangre y sus huesos» (ibid.: 21)—; aquí no se las trata como sustancias que expliquen una identidad, sino como materiales cuya distribución, su topografía, decide quién puede quedarse, dónde y a qué costo.</w:t>
      </w:r>
    </w:p>
    <w:p>
      <w:pPr>
        <w:pStyle w:val="BodyText"/>
      </w:pPr>
      <w:r>
        <w:t xml:space="preserve">La crítica ya ha discutido la oposición entre comunidad y afuera. Samuel Arriarán (2021: 29-31) la examina en</w:t>
      </w:r>
      <w:r>
        <w:t xml:space="preserve"> </w:t>
      </w:r>
      <w:r>
        <w:rPr>
          <w:i/>
          <w:iCs/>
        </w:rPr>
        <w:t xml:space="preserve">Altiplano</w:t>
      </w:r>
      <w:r>
        <w:t xml:space="preserve"> </w:t>
      </w:r>
      <w:r>
        <w:t xml:space="preserve">y cuestiona el regreso al pasado como solución esencialista, aunque resume la muerte de Juan Condori como un accidente, cuando en la novela Condori muere de un disparo antes del derrumbe. Josep M. Barnadas (1977) le dedicó un temprano esquema metodológico, que esta investigación aún no ha podido consultar. Proponemos estudiar las operaciones materiales y narrativas que producen la permanencia y la salida —objetos, trabajo, alojamiento, órdenes—, incluidas las pérdidas y la selección de recuerdos del retorno, sin reponer aquella oposición bajo un vocabulario arquitectónico.</w:t>
      </w:r>
    </w:p>
    <w:p>
      <w:pPr>
        <w:pStyle w:val="BodyText"/>
      </w:pPr>
      <w:r>
        <w:t xml:space="preserve">La novela es, además, una representación mediada. Publicada en Buenos Aires en 1945 y citada aquí por una reedición paceña de 1982, circula con una nota editorial según la cual Jatun-Kolla «es, en realidad, Warisata» y su autor «ama al indio» y vivió «ocupado por contribuir a su redención» (Botelho Gosálvez, 1982 [1945]: 5). El paratexto invita a leer la ficción como documento y como tutela. Aquí se la lee como ficción, en tres planos: lo que sucede en la historia, cómo lo presenta y valora el narrador, y lo que hace el investigador al leer y dibujar. Que el narrador llame a Juan Condori «hombre agrícola y solar» (ibid.: 145) es un dato del segundo plano; deducir de ahí que el sujeto andino solo halla sentido en el campo sería confundirlo con el primero.</w:t>
      </w:r>
    </w:p>
    <w:p>
      <w:pPr>
        <w:pStyle w:val="BodyText"/>
      </w:pPr>
      <w:r>
        <w:t xml:space="preserve">Se trata de una investigación en desarrollo: la lectura de la novela está concluida y la exploración gráfica, en curso, por lo que el artículo presenta sus unidades y criterios, no sus resultados. Tras el método (sección 2), se estudian la vida en el ayllu (3), las salidas de tres familias (4) y el retorno (5).</w:t>
      </w:r>
    </w:p>
    <w:bookmarkEnd w:id="10"/>
    <w:bookmarkStart w:id="12" w:name="lectura-y-exploración-gráfica"/>
    <w:p>
      <w:pPr>
        <w:pStyle w:val="Heading2"/>
      </w:pPr>
      <w:r>
        <w:t xml:space="preserve">2. Lectura y exploración gráfica</w:t>
      </w:r>
    </w:p>
    <w:p>
      <w:pPr>
        <w:pStyle w:val="FirstParagraph"/>
      </w:pPr>
      <w:r>
        <w:t xml:space="preserve">«Habitar» designa aquí la posibilidad práctica de sostener la vida en un lugar: tener tierra que trabajar, un techo, herramientas, un ingreso. «Desamparo» nombra la fragilidad o la pérdida de esa posibilidad ante decisiones ajenas, restricciones materiales o falta de alternativas. Son definiciones de trabajo, no términos que se atribuyan a los personajes.</w:t>
      </w:r>
    </w:p>
    <w:p>
      <w:pPr>
        <w:pStyle w:val="BodyText"/>
      </w:pPr>
      <w:r>
        <w:t xml:space="preserve">Preferimos esos términos al de «espacio» por una cautela histórica. Vázquez Ramos, Dias Ribeiro, Quedas Campoy y Ferreira de Paula muestran que el espacio, como categoría de la arquitectura, es un tema «esencialmente moderno y, como tal, movedizo y, sobre todo, abstracto», cuya formulación «no habla sobre la arquitectura, sino sobre nosotros»; un objeto puede analizarse «bajo la óptica del espacio», pero eso «no significa que haya sido concebido desde esa óptica» (Vázquez Ramos et al., 2023: 4)</w:t>
      </w:r>
      <w:r>
        <w:rPr>
          <w:rStyle w:val="FootnoteReference"/>
        </w:rPr>
        <w:footnoteReference w:id="11"/>
      </w:r>
      <w:r>
        <w:t xml:space="preserve">. La cautela tiene un límite: la historia occidental de un concepto disciplinar no prueba que los habitantes andinos carezcan de abstracción espacial, y la propia novela registra mojones, estacas de propiedad, títulos y un «Signo sagrado de Tiwanaco» que el narrador convierte en escala social (Botelho Gosálvez, 1982 [1945]: 9, 20, 37-38, 163). De Henri Lefebvre retenemos solo la distinción entre prácticas espaciales, representaciones del espacio y espacios vividos a través de imágenes y símbolos (Lefebvre, 1991: 38, cit. en Vázquez Ramos et al., 2023: 13), para leer las tres dimensiones en una misma escena, no para repartirlas entre grupos: lo concebido no pertenece solo al dominador, ni lo vivido a la magia.</w:t>
      </w:r>
    </w:p>
    <w:p>
      <w:pPr>
        <w:pStyle w:val="BodyText"/>
      </w:pPr>
      <w:r>
        <w:t xml:space="preserve">Dos referencias orientan la lectura. Mauricio Cárcamo Pino llama</w:t>
      </w:r>
      <w:r>
        <w:t xml:space="preserve"> </w:t>
      </w:r>
      <w:r>
        <w:rPr>
          <w:i/>
          <w:iCs/>
        </w:rPr>
        <w:t xml:space="preserve">manuaje</w:t>
      </w:r>
      <w:r>
        <w:t xml:space="preserve"> </w:t>
      </w:r>
      <w:r>
        <w:t xml:space="preserve">al conjunto de prácticas que «se funda en la acción bimanual in-tensionada y los efectos de ello sobre la materia para comunicar (o autocomunicarse), expresar o inteligenciar» (Cárcamo Pino, 2019: 1412, cit. en Cárcamo Pino, 2025b: 244), y sitúa en un mismo repertorio de medios «una caja de herramientas (con martillo, alicate, etc.)» y «un escritorio (con papel, lápices, escuadras, etc.)» (Cárcamo Pino, 2025a: 12). En</w:t>
      </w:r>
      <w:r>
        <w:t xml:space="preserve"> </w:t>
      </w:r>
      <w:r>
        <w:rPr>
          <w:i/>
          <w:iCs/>
        </w:rPr>
        <w:t xml:space="preserve">Altiplano</w:t>
      </w:r>
      <w:r>
        <w:t xml:space="preserve">, ello invita a seguir los objetos que median el trabajo y la autoridad —arado, yugo, carretilla, callapo, pero también tintero, ordenanza, libro, papeleta— y a preguntar qué sostiene cada uno, quién lo usa y bajo qué relaciones. Impide, además, oponer escribir y arar como la letra y la mano. La novela atribuye esa oposición a los vecinos de Umacachi, que niegan la escuela a los hijos de los indios: «Que tiren palotes con el arado, esa resulta la más recomendable caligrafía para los indios» (Botelho Gosálvez, 1982 [1945]: 87). El pasaje expone una imposición racializada del trabajo y una negación de la alfabetización; leerlo como elogio del saber manual repetiría la exclusión que denuncia. Queda un límite: las manos representadas en la novela y la mano de quien dibuja pertenecen a niveles distintos, y dibujar no equivale a reproducir la experiencia de los personajes.</w:t>
      </w:r>
    </w:p>
    <w:p>
      <w:pPr>
        <w:pStyle w:val="BodyText"/>
      </w:pPr>
      <w:r>
        <w:t xml:space="preserve">La segunda, Richard Martin, aporta preguntas comparativas. Su estudio del cine de David Lynch parte de que la cultura contiene «una comprensión espacial y arquitectónica sin explotar», cuyo sitio «está en sus ficciones» (Shonfield, 2000: 173, cit. en Martin, 2014: 7), y lee la casa entre dos polos: la de Bachelard, que «protege al soñador» (Bachelard, 1994 [1958]: 6, cit. en Martin, 2014: 63), y la de Lynch, «un lugar donde las cosas pueden salir mal» (Rodley, 2005: 10, cit. en Martin, 2014: 64). Tomamos de él la pregunta por cómo participan interiores, umbrales y recorridos en una ficción, sin suponer influencia de Lynch sobre Botelho ni identidad entre sus mundos.</w:t>
      </w:r>
    </w:p>
    <w:p>
      <w:pPr>
        <w:pStyle w:val="BodyText"/>
      </w:pPr>
      <w:r>
        <w:t xml:space="preserve">La exploración gráfica adapta el método de Simon Lundberg, que explora la imagen arquitectónica «más allá del uso instrumental de la representación» en cuatro pasos: observación, disección, ensamblaje e inmersión (Lundberg, 2019: 3). Lundberg partía de edificios observados; aquí se parte de descripciones narrativas, incompletas y valoradas por una voz. Por eso la unidad de trabajo es una escena con personajes, acciones y condiciones de acceso, y al ciclo se añade un quinto paso: el retorno al pasaje (Cuadro 1). La inmersión, advierte Lundberg, no debe confundirse «con el realismo visual» (ibid.: 21); el pastel al óleo, que no seca, se acumula, se raspa y se funde con los dedos, busca densidad y luz, no verosimilitud. Y como, para Luigi Pareyson, el hacer artístico es una acción formante que «inventa</w:t>
      </w:r>
      <w:r>
        <w:t xml:space="preserve"> </w:t>
      </w:r>
      <w:r>
        <w:rPr>
          <w:i/>
          <w:iCs/>
        </w:rPr>
        <w:t xml:space="preserve">in situ</w:t>
      </w:r>
      <w:r>
        <w:t xml:space="preserve"> </w:t>
      </w:r>
      <w:r>
        <w:t xml:space="preserve">el modo de formar» (Pareyson, 2002: 18, cit. en Cárcamo Pino, 2025b: 246), su resultado no puede anticiparse: debe registrarse.</w:t>
      </w:r>
    </w:p>
    <w:p>
      <w:pPr>
        <w:pStyle w:val="BodyText"/>
      </w:pPr>
      <w:r>
        <w:rPr>
          <w:b/>
          <w:bCs/>
        </w:rPr>
        <w:t xml:space="preserve">Cuadro 1.</w:t>
      </w:r>
      <w:r>
        <w:t xml:space="preserve"> </w:t>
      </w:r>
      <w:r>
        <w:rPr>
          <w:i/>
          <w:iCs/>
        </w:rPr>
        <w:t xml:space="preserve">Operaciones de la exploración gráfica y su registro</w:t>
      </w:r>
    </w:p>
    <w:tbl>
      <w:tblPr>
        <w:tblStyle w:val="Table"/>
        <w:tblW w:type="pct" w:w="5000"/>
        <w:tblLayout w:type="fixed"/>
        <w:tblLook w:firstRow="1" w:lastRow="0" w:firstColumn="0" w:lastColumn="0" w:noHBand="0" w:noVBand="0" w:val="0020"/>
      </w:tblPr>
      <w:tblGrid>
        <w:gridCol w:w="1760"/>
        <w:gridCol w:w="3080"/>
        <w:gridCol w:w="3080"/>
      </w:tblGrid>
      <w:tr>
        <w:trPr>
          <w:tblHeader w:val="on"/>
        </w:trPr>
        <w:tc>
          <w:tcPr/>
          <w:p>
            <w:pPr>
              <w:pStyle w:val="Compact"/>
              <w:spacing w:line="240" w:lineRule="auto" w:after="40"/>
            </w:pPr>
            <w:r>
              <w:rPr>
                <w:rFonts w:ascii="Times New Roman" w:hAnsi="Times New Roman"/>
                <w:sz w:val="20"/>
              </w:rPr>
              <w:t xml:space="preserve">Operación</w:t>
            </w:r>
          </w:p>
        </w:tc>
        <w:tc>
          <w:tcPr/>
          <w:p>
            <w:pPr>
              <w:pStyle w:val="Compact"/>
              <w:spacing w:line="240" w:lineRule="auto" w:after="40"/>
            </w:pPr>
            <w:r>
              <w:rPr>
                <w:rFonts w:ascii="Times New Roman" w:hAnsi="Times New Roman"/>
                <w:sz w:val="20"/>
              </w:rPr>
              <w:t xml:space="preserve">Trabajo</w:t>
            </w:r>
          </w:p>
        </w:tc>
        <w:tc>
          <w:tcPr/>
          <w:p>
            <w:pPr>
              <w:pStyle w:val="Compact"/>
              <w:spacing w:line="240" w:lineRule="auto" w:after="40"/>
            </w:pPr>
            <w:r>
              <w:rPr>
                <w:rFonts w:ascii="Times New Roman" w:hAnsi="Times New Roman"/>
                <w:sz w:val="20"/>
              </w:rPr>
              <w:t xml:space="preserve">Registro</w:t>
            </w:r>
          </w:p>
        </w:tc>
      </w:tr>
      <w:tr>
        <w:tc>
          <w:tcPr/>
          <w:p>
            <w:pPr>
              <w:pStyle w:val="Compact"/>
              <w:spacing w:line="240" w:lineRule="auto" w:after="40"/>
            </w:pPr>
            <w:r>
              <w:rPr>
                <w:rFonts w:ascii="Times New Roman" w:hAnsi="Times New Roman"/>
                <w:sz w:val="20"/>
              </w:rPr>
              <w:t xml:space="preserve">Observación</w:t>
            </w:r>
          </w:p>
        </w:tc>
        <w:tc>
          <w:tcPr/>
          <w:p>
            <w:pPr>
              <w:pStyle w:val="Compact"/>
              <w:spacing w:line="240" w:lineRule="auto" w:after="40"/>
            </w:pPr>
            <w:r>
              <w:rPr>
                <w:rFonts w:ascii="Times New Roman" w:hAnsi="Times New Roman"/>
                <w:sz w:val="20"/>
              </w:rPr>
              <w:t xml:space="preserve">Seleccionar el pasaje y separar descripción, acción y valoración del narrador</w:t>
            </w:r>
          </w:p>
        </w:tc>
        <w:tc>
          <w:tcPr/>
          <w:p>
            <w:pPr>
              <w:pStyle w:val="Compact"/>
              <w:spacing w:line="240" w:lineRule="auto" w:after="40"/>
            </w:pPr>
            <w:r>
              <w:rPr>
                <w:rFonts w:ascii="Times New Roman" w:hAnsi="Times New Roman"/>
                <w:sz w:val="20"/>
              </w:rPr>
              <w:t xml:space="preserve">Página, personajes y pregunta espacial</w:t>
            </w:r>
          </w:p>
        </w:tc>
      </w:tr>
      <w:tr>
        <w:tc>
          <w:tcPr/>
          <w:p>
            <w:pPr>
              <w:pStyle w:val="Compact"/>
              <w:spacing w:line="240" w:lineRule="auto" w:after="40"/>
            </w:pPr>
            <w:r>
              <w:rPr>
                <w:rFonts w:ascii="Times New Roman" w:hAnsi="Times New Roman"/>
                <w:sz w:val="20"/>
              </w:rPr>
              <w:t xml:space="preserve">Disección</w:t>
            </w:r>
          </w:p>
        </w:tc>
        <w:tc>
          <w:tcPr/>
          <w:p>
            <w:pPr>
              <w:pStyle w:val="Compact"/>
              <w:spacing w:line="240" w:lineRule="auto" w:after="40"/>
            </w:pPr>
            <w:r>
              <w:rPr>
                <w:rFonts w:ascii="Times New Roman" w:hAnsi="Times New Roman"/>
                <w:sz w:val="20"/>
              </w:rPr>
              <w:t xml:space="preserve">Aislar una relación: cuerpo y soporte, entrada y salida, suelo y agua</w:t>
            </w:r>
          </w:p>
        </w:tc>
        <w:tc>
          <w:tcPr/>
          <w:p>
            <w:pPr>
              <w:pStyle w:val="Compact"/>
              <w:spacing w:line="240" w:lineRule="auto" w:after="40"/>
            </w:pPr>
            <w:r>
              <w:rPr>
                <w:rFonts w:ascii="Times New Roman" w:hAnsi="Times New Roman"/>
                <w:sz w:val="20"/>
              </w:rPr>
              <w:t xml:space="preserve">Qué se conserva, qué se omite y qué ignora el texto</w:t>
            </w:r>
          </w:p>
        </w:tc>
      </w:tr>
      <w:tr>
        <w:tc>
          <w:tcPr/>
          <w:p>
            <w:pPr>
              <w:pStyle w:val="Compact"/>
              <w:spacing w:line="240" w:lineRule="auto" w:after="40"/>
            </w:pPr>
            <w:r>
              <w:rPr>
                <w:rFonts w:ascii="Times New Roman" w:hAnsi="Times New Roman"/>
                <w:sz w:val="20"/>
              </w:rPr>
              <w:t xml:space="preserve">Ensamblaje</w:t>
            </w:r>
          </w:p>
        </w:tc>
        <w:tc>
          <w:tcPr/>
          <w:p>
            <w:pPr>
              <w:pStyle w:val="Compact"/>
              <w:spacing w:line="240" w:lineRule="auto" w:after="40"/>
            </w:pPr>
            <w:r>
              <w:rPr>
                <w:rFonts w:ascii="Times New Roman" w:hAnsi="Times New Roman"/>
                <w:sz w:val="20"/>
              </w:rPr>
              <w:t xml:space="preserve">Recomponer los elementos y comparar disposiciones alternativas</w:t>
            </w:r>
          </w:p>
        </w:tc>
        <w:tc>
          <w:tcPr/>
          <w:p>
            <w:pPr>
              <w:pStyle w:val="Compact"/>
              <w:spacing w:line="240" w:lineRule="auto" w:after="40"/>
            </w:pPr>
            <w:r>
              <w:rPr>
                <w:rFonts w:ascii="Times New Roman" w:hAnsi="Times New Roman"/>
                <w:sz w:val="20"/>
              </w:rPr>
              <w:t xml:space="preserve">Qué procede del texto y qué añade el dibujo</w:t>
            </w:r>
          </w:p>
        </w:tc>
      </w:tr>
      <w:tr>
        <w:tc>
          <w:tcPr/>
          <w:p>
            <w:pPr>
              <w:pStyle w:val="Compact"/>
              <w:spacing w:line="240" w:lineRule="auto" w:after="40"/>
            </w:pPr>
            <w:r>
              <w:rPr>
                <w:rFonts w:ascii="Times New Roman" w:hAnsi="Times New Roman"/>
                <w:sz w:val="20"/>
              </w:rPr>
              <w:t xml:space="preserve">Inmersión</w:t>
            </w:r>
          </w:p>
        </w:tc>
        <w:tc>
          <w:tcPr/>
          <w:p>
            <w:pPr>
              <w:pStyle w:val="Compact"/>
              <w:spacing w:line="240" w:lineRule="auto" w:after="40"/>
            </w:pPr>
            <w:r>
              <w:rPr>
                <w:rFonts w:ascii="Times New Roman" w:hAnsi="Times New Roman"/>
                <w:sz w:val="20"/>
              </w:rPr>
              <w:t xml:space="preserve">Trabajar profundidad, textura, luz y punto de vista</w:t>
            </w:r>
          </w:p>
        </w:tc>
        <w:tc>
          <w:tcPr/>
          <w:p>
            <w:pPr>
              <w:pStyle w:val="Compact"/>
              <w:spacing w:line="240" w:lineRule="auto" w:after="40"/>
            </w:pPr>
            <w:r>
              <w:rPr>
                <w:rFonts w:ascii="Times New Roman" w:hAnsi="Times New Roman"/>
                <w:sz w:val="20"/>
              </w:rPr>
              <w:t xml:space="preserve">Qué cambia en la lectura desde ese punto de vista</w:t>
            </w:r>
          </w:p>
        </w:tc>
      </w:tr>
      <w:tr>
        <w:tc>
          <w:tcPr/>
          <w:p>
            <w:pPr>
              <w:pStyle w:val="Compact"/>
              <w:spacing w:line="240" w:lineRule="auto" w:after="40"/>
            </w:pPr>
            <w:r>
              <w:rPr>
                <w:rFonts w:ascii="Times New Roman" w:hAnsi="Times New Roman"/>
                <w:sz w:val="20"/>
              </w:rPr>
              <w:t xml:space="preserve">Retorno al pasaje</w:t>
            </w:r>
          </w:p>
        </w:tc>
        <w:tc>
          <w:tcPr/>
          <w:p>
            <w:pPr>
              <w:pStyle w:val="Compact"/>
              <w:spacing w:line="240" w:lineRule="auto" w:after="40"/>
            </w:pPr>
            <w:r>
              <w:rPr>
                <w:rFonts w:ascii="Times New Roman" w:hAnsi="Times New Roman"/>
                <w:sz w:val="20"/>
              </w:rPr>
              <w:t xml:space="preserve">Releer la escena desde el dibujo</w:t>
            </w:r>
          </w:p>
        </w:tc>
        <w:tc>
          <w:tcPr/>
          <w:p>
            <w:pPr>
              <w:pStyle w:val="Compact"/>
              <w:spacing w:line="240" w:lineRule="auto" w:after="40"/>
            </w:pPr>
            <w:r>
              <w:rPr>
                <w:rFonts w:ascii="Times New Roman" w:hAnsi="Times New Roman"/>
                <w:sz w:val="20"/>
              </w:rPr>
              <w:t xml:space="preserve">Hallazgo, contradicción, límite o nueva pregunta</w:t>
            </w:r>
          </w:p>
        </w:tc>
      </w:tr>
    </w:tbl>
    <w:p>
      <w:pPr>
        <w:pStyle w:val="BodyText"/>
      </w:pPr>
      <w:r>
        <w:t xml:space="preserve">Fuente: elaboración propia a partir de Lundberg (2019: 3, 15-21).</w:t>
      </w:r>
    </w:p>
    <w:p>
      <w:pPr>
        <w:pStyle w:val="BodyText"/>
      </w:pPr>
      <w:r>
        <w:t xml:space="preserve">Una imagen no deja ver el orden de sus capas ni las decisiones descartadas; por eso cada pastel irá acompañado de un registro escrito de sus pasos y de un pie que indique autoría, técnica, fecha, pasaje, operación y su condición de imagen especulativa. Las tres escenas elegidas —la junta nocturna de los Huanca, la consulta del tinterillo y el intento de retroceso de Juan Condori— se examinan en las secciones siguientes.</w:t>
      </w:r>
    </w:p>
    <w:bookmarkEnd w:id="12"/>
    <w:bookmarkStart w:id="13" w:name="sostener-la-vida-en-jatun-kolla"/>
    <w:p>
      <w:pPr>
        <w:pStyle w:val="Heading2"/>
      </w:pPr>
      <w:r>
        <w:t xml:space="preserve">3. Sostener la vida en Jatun-Kolla</w:t>
      </w:r>
    </w:p>
    <w:p>
      <w:pPr>
        <w:pStyle w:val="FirstParagraph"/>
      </w:pPr>
      <w:r>
        <w:t xml:space="preserve">La tierra del ayllu está desigualmente repartida. Los Villca tienen «bajo su mano lo menos una quinta parte de las tierras de labranza» (Botelho Gosálvez, 1982 [1945]: 20); su antepasado Pedro «empotró en el suelo del ayllu las estacas de propiedad y empezó a dominar» (ibid.). Los demás tienen «cuatro o cinco hectáreas de tierras de labor por familia» (ibid.: 21); los peones sin tierra que trabajan para los Villca «reciben como salario el puchero y la casa» (ibid.), y cuando la comunidad ha «colmado la medida de resistencia», los expulsa (ibid.: 22). Los Villca sostienen su preeminencia con genealogías inventadas porque «necesitaban aquel blasón para sustentar su orgullo y su riqueza» (ibid.: 28), y a los antepasados de Juan Condori los habían amparado las «Cédulas Reales» antes de que los despojaran «los papeles del Gobierno» (ibid.: 36-37): ni el relato oral ni el documento escrito tienen una orientación política fija. El narrador ordena esa desigualdad con el vocabulario de la ciudad: los Villca «son la burguesía usurpadora»; los Huanca, Huallpa, Yupanqui, Ticona, Choque y Chuquihuanca, «los pequeño-burgueses»; los Condori, Mamani y Quispe, «sin heredad ni salario», «el proletariado campesino» (ibid.: 22). Es su valoración, no la del ayllu.</w:t>
      </w:r>
    </w:p>
    <w:p>
      <w:pPr>
        <w:pStyle w:val="BodyText"/>
      </w:pPr>
      <w:r>
        <w:t xml:space="preserve">La vivienda de los Huanca muestra cómo se sostiene la vida en esas condiciones. Son «tres chujllas de adobe y paja brava» en torno a un patio; «no tienen cuartos», «apenas se alzan dos metros del suelo», sus paredes están «renegridas por el hollín» del brasero central, los camastros se elevan «apenas la altura de un adobe» y de las vigas «cuelgan las hoces, el arado, el yugo de madera» (ibid.: 30-31). Doce personas viven de «cuatro mezquinas hectáreas y siete ovejas roñosas» y siembran «hasta aquellos sitios donde sólo brotan el abrojo, entre piedras y arena» (ibid.: 30). Una peste de las ovejas ha dejado los telares «apoyados en la más oscura esquina de la chujlla» como «extraños armatostes de madera abandonados» (ibid.: 29). No hay armonía originaria, sino deterioro: «La vida deviene decadencia para los Huanca» (ibid.: 31). La casa abriga y guarda las herramientas, pero no alcanza para todos.</w:t>
      </w:r>
    </w:p>
    <w:p>
      <w:pPr>
        <w:pStyle w:val="BodyText"/>
      </w:pPr>
      <w:r>
        <w:t xml:space="preserve">Esa insuficiencia se decide dentro de la casa, en la primera escena elegida para la exploración gráfica. Una noche de invierno, Paulo Huanca llama a sus tres hijos mayores. «Una mecha de sebo ardía en una larga repisa de madera sobre la cual dormían las gallinas»; los niños miran desde el jergón; el padre está «en cuclillas, cerca del fuego»; detrás, la madre escarmena lana, y las mujeres permanecen «apoyadas contra la pared» (ibid.: 31-32). El padre no tiene qué dejarles —«la escasez de tierras me tiene preocupado. ¿Qué voy a darles como patrimonio? No tengo nada»— y les pide que se vayan (ibid.: 32); si tienen suerte, podrán volver y «pedir a los Villca que les vendan unas cuantas hectáreas» (ibid.: 33). Dos días después los mira partir «desde el portal de su chujlla» y vuelve a entrar para salir «con la madera del arado en un hombro y las correas del yugo en las manos» (ibid.: 34). La permanencia de unos exige la salida de otros, y la decisión se toma junto al fuego. La casa que, para Bachelard, protege al soñador encuentra aquí su límite en la cantidad de tierra disponible.</w:t>
      </w:r>
    </w:p>
    <w:p>
      <w:pPr>
        <w:pStyle w:val="BodyText"/>
      </w:pPr>
      <w:r>
        <w:t xml:space="preserve">Para el dibujo, el pasaje ofrece posiciones relativas —el padre junto al fuego, la madre detrás, las mujeres contra la pared, los niños en el jergón, los hijos enfrente— y dos fuentes de luz, la mecha y el fogón. Menciona la puerta que rasguña el viento, pero no dice dónde está ni a qué distancia se hallan los cuerpos: la imagen tendrá que decidirlo y declararlo como conjetura. La pregunta es si una sección de la chujlla puede mostrar a la vez quién queda dentro y quién debe salir, y qué pierde la imagen si omite lo que el texto dice con números: las cuatro hectáreas que no alcanzan.</w:t>
      </w:r>
    </w:p>
    <w:p>
      <w:pPr>
        <w:pStyle w:val="BodyText"/>
      </w:pPr>
      <w:r>
        <w:t xml:space="preserve">La sequía rompe ese equilibrio precario. Las sementeras «se agrietan como paredes envejecidas» (ibid.: 56), las vertientes se secan (ibid.: 58) y el Jilakata manda abrir «diez fosas en el cementerio» en previsión de las muertes que vendrán (ibid.: 73). La puna abierta no garantiza libertad: «Cielo y tierra eran para ellos como una tremenda cárcel de cuyo tremendo recinto no sabían por dónde huir» (ibid.: 72). Tampoco la salida se reparte por igual. Cuando empezó la sequía, la comunidad había expulsado a la mayoría de los advenedizos sin tierra —«a los otros les hicieron preceder a los perros expulsados del ayllu»—, y entre los que quedaban eligió a tres vigilantes que, alimentados por los que se van, cuidarán el ayllu vacío desde la chujlla de los Villca (ibid.: 75-76, 79). Juan Condori, que no resulta elegido y queda «sin sus amos, los Villca», decide buscar el sustento «al fondo, al mismo vientre metálico de los cerros» (ibid.: 76).</w:t>
      </w:r>
    </w:p>
    <w:p>
      <w:pPr>
        <w:pStyle w:val="BodyText"/>
      </w:pPr>
      <w:r>
        <w:t xml:space="preserve">La comunidad que reparte la permanencia también mata. En plena sequía, Mateo Choque culpa al yatiri Basilio Quispe de «todo lo que nos sucede»; de sus ropas caen «dos muñequitos de lana que estaban atravesados en el pecho por una espina» (ibid.: 66-67). El temor al «mal de ojo» contiene por un momento a los acusadores, hasta que Justina Huanca se abalanza sobre el viejo y los hombres «perdieron el miedo» (ibid.: 68). Lo matan, lo descuartizan, «en muchos sitios enterraron los pedazos del cuerpo» y entran luego en la iglesia «con las manos aún melosas de sangre fresca» (ibid.: 68-69). Solo al salir del templo llega el miedo, y con él la decisión colectiva: «¡Hay que irse! […] ¡La tierra está maldita!» (ibid.: 70). El narrador interviene con imágenes que animalizan a la multitud —«Un ardor bestial brillaba en sus pupilas»; Justina araña «como la fiera y brava hembra del puma» y se ensaña con los genitales del muerto desde su «conciencia de hembra» (ibid.: 68-69)—, y el análisis debe leerlas como procedimientos suyos. El linchamiento marca el límite de la comunidad protectora: la violencia que precipita el éxodo no viene de fuera.</w:t>
      </w:r>
    </w:p>
    <w:bookmarkEnd w:id="13"/>
    <w:bookmarkStart w:id="17" w:name="las-condiciones-de-permanecer-y-salir"/>
    <w:p>
      <w:pPr>
        <w:pStyle w:val="Heading2"/>
      </w:pPr>
      <w:r>
        <w:t xml:space="preserve">4. Las condiciones de permanecer y salir</w:t>
      </w:r>
    </w:p>
    <w:bookmarkStart w:id="14" w:name="X9e8b9588710c2591ccced9303907cff3c9d70e6"/>
    <w:p>
      <w:pPr>
        <w:pStyle w:val="Heading3"/>
      </w:pPr>
      <w:r>
        <w:t xml:space="preserve">4.1. Umacachi: alojamiento, ordenanza y consulta</w:t>
      </w:r>
    </w:p>
    <w:p>
      <w:pPr>
        <w:pStyle w:val="FirstParagraph"/>
      </w:pPr>
      <w:r>
        <w:t xml:space="preserve">Los Villca, que en el ayllu alojaban a sus peones, llegan a Umacachi con treinta y cuatro ovejas y pagan cincuenta bolivianos por un lugar donde quedarse. La comadre Encarnación les ofrece el corral y el pesebre: «El orgullo del Villca sufrió un vuelco porque esperaba siquiera una habitación» (Botelho Gosálvez, 1982 [1945]: 91-92). La permanencia en la aldea depende del dinero y del ganado, y ambos quedan pronto a merced de una orden escrita. El alcalde, el doctor Margarito Mendoza, firma una ordenanza: «Todos los animales de carneo que existen dentro del radio urbano serán requisados, pagándose por ellos su justo precio en la Caja Municipal» (ibid.: 96). Cuando Vicente protesta, el alcalde lo hace arrestar y multar «por desacato a la autoridad» (ibid.: 100), y cinco gendarmes indios lo llevan al patio donde lo azotan (ibid.: 101). El ganado, tasado «a ojo de buen cubero», termina en las fincas del alcalde, y la fortuna de los Villca se reduce «a mil seiscientos bolivianos en papel» (ibid.: 102-103). En esa secuencia coinciden las tres dimensiones que distingue Lefebvre. El radio urbano es una representación trazada sobre el papel. Alcanza a una práctica, el tropel de animales que los Villca llevan cada madrugada al río y que los tinterillos de la aldea ya habían visto pasar (ibid.: 94): se prohíbe a los indios sacar sus animales al campo, mientras los mestizos, a quienes la ordenanza no toca, tienen su ganado «a buen recaudo» (ibid.: 101-102). Y altera lo vivido: en el corral alquilado quedan «apenas los caballejos y burros» (ibid.: 102).</w:t>
      </w:r>
    </w:p>
    <w:p>
      <w:pPr>
        <w:pStyle w:val="BodyText"/>
      </w:pPr>
      <w:r>
        <w:t xml:space="preserve">La segunda escena elegida transcurre en otro cuarto. Vicente busca a un tinterillo, cuyo nombre la novela no da, para reclamar una indemnización mayor. La oficina es «un cuartucho maloliente, de piso de ladrillos; una mugrienta mesa con un tintero y un desordenado montón de papeles y libracos encima; tres sillas y un sofá destripado» (ibid.: 103). El letrado señala «un Código Penal en infolio y un manual del Procedimiento Civil» y convierte el tamaño en eficacia: el grande «tiene más peso legal y jurídico que el chiquitito», y con él sus honorarios son de «seiscientos bolivianos, la mitad adelantados» (ibid.: 104). Una propiedad física del objeto se vuelve argumento de autoridad y, enseguida, precio. Vicente calcula y desconfía —«estos tinterillos son de una sola casta y todos obran con una mala fe del demonio»— y rechaza la defensa (ibid.). El tinterillo le exige entonces cincuenta bolivianos por la consulta, con una amenaza: «te encierro por conspirar contra la autoridad municipal» (ibid.: 105). Vicente desanuda la faja donde guarda «un atado de pobres y traposos billetes» y paga; ante el dinero, el letrado le ofrece la defensa por cuatrocientos, y Vicente vuelve a negarse y sale a la calle, «libre ya de la amenaza del letrado» (ibid.). Salir del cuarto fue posible, pero tuvo precio. La escena no enfrenta a un indio sin juicio con la escritura: articula la materialidad del libro, un argumento fraudulento, el juicio del personaje y la coerción que convierte su negativa en deuda.</w:t>
      </w:r>
    </w:p>
    <w:p>
      <w:pPr>
        <w:pStyle w:val="BodyText"/>
      </w:pPr>
      <w:r>
        <w:t xml:space="preserve">El pasaje nombra la mesa, el tintero, los libros, las sillas y el sofá; no dice dónde está la puerta ni cómo se disponen los cuerpos. La exploración gráfica puede comparar disposiciones —la mesa entre ambos, los libros del lado del letrado, la salida a espaldas de Vicente— y preguntar cuál vuelve pensable la amenaza. Su resultado deberá volver a la conversación: una geometría que omita la negativa de Vicente o la amenaza del tinterillo reduciría el conflicto que intenta comprender.</w:t>
      </w:r>
    </w:p>
    <w:p>
      <w:pPr>
        <w:pStyle w:val="BodyText"/>
      </w:pPr>
      <w:r>
        <w:t xml:space="preserve">La permanencia en la aldea se agota. La familia vuelve al pesebre, «donde el viento entraba por todas partes» (ibid.: 105); con la carestía, dos niños mueren de inanición y los entierran «allí mismo, bajo el suelo del pesebre, para evitar el pago al cura y el municipio» (ibid.: 106): el alojamiento pagado se vuelve tumba, porque también morir cuesta. En junio, tras trocar sus bestias por semillas, los Villca vuelven a los caminos (ibid.: 106-107). El narrador cierra el episodio diciendo que habían sido «domesticados por la aldea» (ibid.: 107); la imagen, que los asimila a animales de casa, pertenece a su registro, no a la experiencia que acaba de narrar.</w:t>
      </w:r>
    </w:p>
    <w:bookmarkEnd w:id="14"/>
    <w:bookmarkStart w:id="15" w:name="los-yungas-un-cuarto-a-cambio-de-trabajo"/>
    <w:p>
      <w:pPr>
        <w:pStyle w:val="Heading3"/>
      </w:pPr>
      <w:r>
        <w:t xml:space="preserve">4.2. Los Yungas: un cuarto a cambio de trabajo</w:t>
      </w:r>
    </w:p>
    <w:p>
      <w:pPr>
        <w:pStyle w:val="FirstParagraph"/>
      </w:pPr>
      <w:r>
        <w:t xml:space="preserve">Paulo Huanca baja a los Yungas para reunirse con sus hijos. En la finca «Gaby Ofelia», el mayordomo primero lo rechaza —«Sabrás arar en la puna, pero aquí esa es otra música»— y luego, conmovido por el hijo menor, lo contrata: «Te voy a dar trabajo en el cañaveral […]. Hay un cuarto junto al granero. Puedes ir a ocuparlo» (ibid.: 112-114). El alojamiento llega con el empleo. En el cañaveral, Paulo no conoce el manejo del machete, sufre una insolación y cae «de bruces, con ambos brazos abiertos sobre las cañas» (ibid.: 117-119); esa noche lo alcanza la terciana (ibid.: 122). El narrador describe su consunción con imágenes —se derrite «como muñeco de cera» (ibid.: 123)— que no equivalen a un diagnóstico: la secuencia muestra esfuerzo, calor, insolación y paludismo, no una incompatibilidad entre el cuerpo puneño y el trópico. Esa idea la enuncia un peón yungueño —«¡Mejor uno está donde está!»—, y Paulo le responde «Sí y no»: han emigrado por la sequía, «sólo hasta que se vaya el año malo» (ibid.: 120). Lo que sí queda establecido es la condición del cuarto. «La finca no es un hospital para menesterosos», dice el mayordomo; «lo que me importa es que se desocupe el cuarto» (ibid.: 123). A la mañana siguiente se lo repite desde la puerta: «el mejor dinero es que me devuelvas el cuarto y te vayas ahora mismo» (ibid.: 126). El mismo mayordomo, «humano y tolerante» según el narrador (ibid.: 117), les da provisiones para el viaje (ibid.: 126). La expulsión no requiere un villano; le basta la regla que ata el techo al rendimiento.</w:t>
      </w:r>
    </w:p>
    <w:p>
      <w:pPr>
        <w:pStyle w:val="BodyText"/>
      </w:pPr>
      <w:r>
        <w:t xml:space="preserve">En el aserradero, adonde lo envía aquel compañero, el contratista invoca la mano de otro puneño —«No hace dos días que uno de ustedes se ha cercenado una mano en la sierra»— antes de aceptarlo como peón (ibid.: 129). La exposición al daño tampoco es igual para todos. El compañero lo había advertido: «En los campamentos es peligroso tener mujeres; los hombres no las respetan» (ibid.: 125). De la mayor de las hijas, «una doncella de quince años» a quien el narrador presenta dejando «ver sus nacientes senos» (ibid.), se dice después, entre guiones —«vieja historia»—, que fue desflorada por el patrón y que la desesperación la obligó a venderse a capataces y peones, hasta que «con su propia mano se quitó la vida» (ibid.: 132). No tiene nombre. La novela reparte el daño según el género, y el narrador lo expone con una mirada que erotiza antes de compadecer. Paulo regresa a la puna cuando «ya no le quedaba más» (ibid.: 132), y el narrador explica el fracaso como un rechazo telúrico —el yunga había «despedazado su organismo de piedra del Kollasuyo» (ibid.: 133)— allí donde la trama ha mostrado un cuarto condicionado al trabajo, una enfermedad y una violencia con autores.</w:t>
      </w:r>
    </w:p>
    <w:bookmarkEnd w:id="15"/>
    <w:bookmarkStart w:id="16" w:name="la-mina-descenso-amenaza-y-muerte"/>
    <w:p>
      <w:pPr>
        <w:pStyle w:val="Heading3"/>
      </w:pPr>
      <w:r>
        <w:t xml:space="preserve">4.3. La mina: descenso, amenaza y muerte</w:t>
      </w:r>
    </w:p>
    <w:p>
      <w:pPr>
        <w:pStyle w:val="FirstParagraph"/>
      </w:pPr>
      <w:r>
        <w:t xml:space="preserve">Juan Condori llega sin recursos a la mina «Pensylvania», de la compañía The Star Syndicate, y una chola le fía el primer desayuno (ibid.: 134-137). La empresa lo registra antes de admitirlo: un médico lo examina y «firmó una papeleta en que le daba de alta», y en la oficina «tomaron su identidad e impresiones digitales» (ibid.: 139-140). La mano del peón entra en el archivo de la compañía antes que en la galería. Esa tarde repara «las infinitas hendijas y goteras» de su casucha (ibid.: 140), como al llegar a Jatun-Kolla había repuesto «la techumbre de paja» de una chujlla abandonada (ibid.: 35): alojarse exige trabajo propio. El capataz le anuncia una cosecha nueva —«Aquí cosecharás miles de cargas de estaño»— y le muestra su esputo sanguinolento: «esta es la bonificación» (ibid.: 142). El ascensorista Calixto baja luego la jaula donde siete hombres van «apeñuscados contra la rejilla» (ibid.: 143). Martin lee el ascensor de</w:t>
      </w:r>
      <w:r>
        <w:t xml:space="preserve"> </w:t>
      </w:r>
      <w:r>
        <w:rPr>
          <w:i/>
          <w:iCs/>
        </w:rPr>
        <w:t xml:space="preserve">Eraserhead</w:t>
      </w:r>
      <w:r>
        <w:t xml:space="preserve"> </w:t>
      </w:r>
      <w:r>
        <w:t xml:space="preserve">como un «teatro de la crueldad» (Martin, 2014: 69); la comparación es útil si obliga a preguntar quién opera la jaula y quién decide el descenso, preguntas que la novela responde con nombres y cargos: el ascensorista, el capataz, la empresa. Abajo, a Condori le dan «una carretilla para acarrear metal» (Botelho Gosálvez, 1982 [1945]: 144). La galería se apuntala con callapos, vigas de madera que sostienen los techos (ibid.: 145, 160); la empresa solo da «mezquinas lamparillas», y «no se conocían entonces cascos protectores ni las botas de goma» (ibid.: 145). La mina también enseña y une: Condori comparte «una solidaridad nacida del peligro y la miseria» y los relatos del Tío, el Gallo y la Viuda (ibid.: 148-149).</w:t>
      </w:r>
    </w:p>
    <w:p>
      <w:pPr>
        <w:pStyle w:val="BodyText"/>
      </w:pPr>
      <w:r>
        <w:t xml:space="preserve">La tercera escena elegida es el intento de Condori de retroceder. Cuando el plano «450» se inunda y las bombas nuevas tardan, la empresa decide bajar ciento veinte hombres y doblarles el jornal (ibid.: 150). Tras sacar a un peón «con los sesos aplastados», los obreros se niegan a entrar en las jaulas: «No queremos morir como brutos, somos cristianos» (ibid.: 151). La empresa pide voluntarios, y Condori baja el 15 de mayo con otros catorce, «deseoso del jornal que había redoblado la empresa» (ibid.). Abajo, Williams, con «casco protector y altas botas de goma», ofrece «cien bolivianos de propina» a quienes lo acompañen más adentro (ibid.: 152). Cinco lo siguen. El barro sube hasta la cintura, los hombres se niegan a avanzar y el ingeniero desenfunda el revólver: «¡al que retroceda le meto un plomo!». Condori intenta volver; «apenas alcanzó a dar tres pasos» y Williams «le abrió un boquete en la cabeza» (ibid.: 153). Segundos después se quiebra la viga del techo y el derrumbe sepulta a todos, al ingeniero incluido (ibid.: 154). La escena encadena un incentivo económico, un avance, una protesta, una amenaza armada y un asesinato. La mina contiene peligro material, pero la muerte de Condori tiene autor.</w:t>
      </w:r>
    </w:p>
    <w:p>
      <w:pPr>
        <w:pStyle w:val="BodyText"/>
      </w:pPr>
      <w:r>
        <w:t xml:space="preserve">Nadie en el mundo narrado lo sabrá: «Toda la vecindad […] no habló más que de aquel drama consumado en el vientre del plano</w:t>
      </w:r>
      <w:r>
        <w:t xml:space="preserve"> </w:t>
      </w:r>
      <w:r>
        <w:t xml:space="preserve">“450”</w:t>
      </w:r>
      <w:r>
        <w:t xml:space="preserve">, pero nadie sospechó el crimen»; la compañía entierra a Condori en el cementerio de los mineros y sus hijos reciben una indemnización (ibid.: 154). Esa diferencia entre lo que la ficción sabe y lo que sus personajes pueden recordar es la primera forma de memoria que el texto pone en juego.</w:t>
      </w:r>
    </w:p>
    <w:p>
      <w:pPr>
        <w:pStyle w:val="BodyText"/>
      </w:pPr>
      <w:r>
        <w:t xml:space="preserve">Para el dibujo, el pasaje ofrece una secuencia de niveles del agua y del barro —tobillos, rodilla, cintura, ombligo (ibid.: 145, 152-153)—, lámparas, una viga, un grupo que se divide y tres pasos de retroceso. No ofrece anchos, largos ni la posición de cada cuerpo, que la imagen deberá proponer como conjetura. El riesgo es evidente: una forma oscura y opresiva puede sugerir el peligro, pero no explica una oferta salarial ni un disparo. La prueba del dibujo será si logra mostrar quién cierra la salida.</w:t>
      </w:r>
    </w:p>
    <w:bookmarkEnd w:id="16"/>
    <w:bookmarkEnd w:id="17"/>
    <w:bookmarkStart w:id="18" w:name="reparación-y-memoria-del-retorno"/>
    <w:p>
      <w:pPr>
        <w:pStyle w:val="Heading2"/>
      </w:pPr>
      <w:r>
        <w:t xml:space="preserve">5. Reparación y memoria del retorno</w:t>
      </w:r>
    </w:p>
    <w:p>
      <w:pPr>
        <w:pStyle w:val="FirstParagraph"/>
      </w:pPr>
      <w:r>
        <w:t xml:space="preserve">Con las primeras heladas vuelven los sobrevivientes y se arrodillan a besar el suelo «en el dintel de Jatun-Kolla»; el narrador resume lo sufrido fuera como «el degradante bofetón de las aldeas, fincas y minas» (Botelho Gosálvez, 1982 [1945]: 155). Han muerto más de ciento cincuenta comunarios, «ancianos, niños y mujeres en su mayor parte»; seis varones, por las balas, y dos, por el látigo (ibid.: 156). La reparación es material: «Las chujllas fueron reparadas del estrago, las pircas de piedra que separan las parcelas fueron compuestas» (ibid.). También es corporal. Diezmado el ganado, «ya no había yuntas de bueyes y los mismos hombres eran quienes tiraban el arado» (ibid.): los cuerpos ocupan el lugar de los animales perdidos. El narrador lo presenta como la recuperación de una fuerza telúrica —los comunarios «habían recibido la resistencia cósmica del altiplano» y trabajaban «con una voluntad de siglos de piedra» (ibid.)—; esa imagen naturaliza un sobreesfuerzo que la trama acaba de explicar por la pérdida.</w:t>
      </w:r>
    </w:p>
    <w:p>
      <w:pPr>
        <w:pStyle w:val="BodyText"/>
      </w:pPr>
      <w:r>
        <w:t xml:space="preserve">La memoria participa de la reparación. Cada uno guarda sus padecimientos «con el mismo pudor de los ex carcelados», y en los campos «la memoria no recordaba sino lo pasado antiguo, lo bueno y lo alegre de las cosechas» (ibid.):</w:t>
      </w:r>
    </w:p>
    <w:p>
      <w:pPr>
        <w:pStyle w:val="BlockText"/>
      </w:pPr>
      <w:r>
        <w:t xml:space="preserve">Tras la muralla de su visión, como foso hondo y alquitranado, estaba el intervalo del hambre; los comunarios, desde la atalaya de la esperanza, sólo miraban el horizonte, sin atreverse a bajar la cabeza al tremendo hoyo de la escasez pretérita (ibid.: 156-157).</w:t>
      </w:r>
    </w:p>
    <w:p>
      <w:pPr>
        <w:pStyle w:val="FirstParagraph"/>
      </w:pPr>
      <w:r>
        <w:t xml:space="preserve">El pasaje describe el olvido con términos de fortificación: muralla, foso, atalaya. Recordar lo próspero exige no mirar el hambre, y la novela confirma esa elección al final: con la cosecha, los derrotados «olvidaron la pesadilla pasada» (ibid.: 159). Es la segunda forma de memoria que el texto pone en juego: la de los sobrevivientes, que reparan el lugar seleccionando lo que recuerdan. También la pertenencia se selecciona. La lista de quienes regresan —«los Villca, los Huanca, los Huallpa, los Yupanqui, los Ticona, los Choque, los Chuquihuanca» (ibid.: 156)— repite en el mismo orden la «burguesía» y los «pequeño-burgueses» de la escala inicial, sin los Condori, Mamani y Quispe del «proletariado campesino» (ibid.: 22). Juan Condori quedó en el cementerio de los mineros; los restos de Basilio Quispe, enterrados en muchos sitios por la propia comunidad. La narración, que conserva ambas muertes, guarda lo que el ayllu reparado prefiere no mirar. El cierre del narrador, una Pachamama «repuesta» que recupera «su prestigio de hembra paridora y múltiple» (ibid.: 159), devuelve a la tierra lo que la trama había mostrado como obra de decisiones humanas, y feminiza el suelo como lo hacía desde el comienzo.</w:t>
      </w:r>
    </w:p>
    <w:bookmarkEnd w:id="18"/>
    <w:bookmarkStart w:id="19" w:name="conclusiones"/>
    <w:p>
      <w:pPr>
        <w:pStyle w:val="Heading2"/>
      </w:pPr>
      <w:r>
        <w:t xml:space="preserve">6. Conclusiones</w:t>
      </w:r>
    </w:p>
    <w:p>
      <w:pPr>
        <w:pStyle w:val="FirstParagraph"/>
      </w:pPr>
      <w:r>
        <w:t xml:space="preserve">La lectura permite sostener tres resultados. Primero,</w:t>
      </w:r>
      <w:r>
        <w:t xml:space="preserve"> </w:t>
      </w:r>
      <w:r>
        <w:rPr>
          <w:i/>
          <w:iCs/>
        </w:rPr>
        <w:t xml:space="preserve">Altiplano</w:t>
      </w:r>
      <w:r>
        <w:t xml:space="preserve"> </w:t>
      </w:r>
      <w:r>
        <w:t xml:space="preserve">no sitúa la protección dentro del ayllu y la amenaza fuera: la tierra está desigualmente repartida, la comunidad expulsa primero a los sin tierra y lincha al yatiri, y la aldea, la finca y la mina alojan a los desplazados solo mientras pagan o trabajan. Segundo, el desamparo tiene agentes y objetos identificables —una ordenanza firmada, un libro exhibido por su tamaño, un cuarto atado al rendimiento, una papeleta médica, unas huellas dactilares, un revólver—: la novela no deja que el espacio cargue con decisiones que atribuye a personas. Tercero, la memoria entra por dos vías: la narración conserva un crimen que nadie en su mundo sospecha, y el retorno repara el lugar seleccionando lo que se recuerda y a quiénes se nombra. El narrador, en cambio, tiende a explicar como fuerza telúrica o rasgo de raza lo que la trama muestra como trabajo, orden y violencia; distinguir ambos planos es condición de la lectura.</w:t>
      </w:r>
    </w:p>
    <w:p>
      <w:pPr>
        <w:pStyle w:val="BodyText"/>
      </w:pPr>
      <w:r>
        <w:t xml:space="preserve">La exploración gráfica está en curso. Sus tres escenas se eligieron porque en cada una se decide quién puede quedarse o salir. El dibujo no reemplazará esas decisiones; podrá mostrar qué disposiciones las vuelven pensables y qué omite una imagen que se limite a la atmósfera. Sus resultados, su registro y sus límites se expondrán en la versión final, junto con la lectura del estudio de Barnadas.</w:t>
      </w:r>
    </w:p>
    <w:bookmarkEnd w:id="19"/>
    <w:bookmarkStart w:id="20" w:name="declaraciones-finales"/>
    <w:p>
      <w:pPr>
        <w:pStyle w:val="Heading2"/>
      </w:pPr>
      <w:r>
        <w:t xml:space="preserve">Declaraciones finales</w:t>
      </w:r>
    </w:p>
    <w:p>
      <w:pPr>
        <w:pStyle w:val="FirstParagraph"/>
      </w:pPr>
      <w:r>
        <w:rPr>
          <w:b/>
          <w:bCs/>
        </w:rPr>
        <w:t xml:space="preserve">Conflicto de intereses.</w:t>
      </w:r>
      <w:r>
        <w:t xml:space="preserve"> </w:t>
      </w:r>
      <w:r>
        <w:t xml:space="preserve">El autor ⟦o la autora⟧ declara no tener conflictos de intereses.</w:t>
      </w:r>
    </w:p>
    <w:p>
      <w:pPr>
        <w:pStyle w:val="BodyText"/>
      </w:pPr>
      <w:r>
        <w:rPr>
          <w:b/>
          <w:bCs/>
        </w:rPr>
        <w:t xml:space="preserve">Declaración de uso de inteligencia artificial.</w:t>
      </w:r>
      <w:r>
        <w:t xml:space="preserve"> </w:t>
      </w:r>
      <w:r>
        <w:t xml:space="preserve">a)</w:t>
      </w:r>
      <w:r>
        <w:t xml:space="preserve"> </w:t>
      </w:r>
      <w:r>
        <w:rPr>
          <w:i/>
          <w:iCs/>
        </w:rPr>
        <w:t xml:space="preserve">Herramientas</w:t>
      </w:r>
      <w:r>
        <w:t xml:space="preserve">: ChatGPT (OpenAI), ⟦versión⟧, y Claude (Anthropic), ⟦versión⟧, asistentes de inteligencia artificial generativa. b)</w:t>
      </w:r>
      <w:r>
        <w:t xml:space="preserve"> </w:t>
      </w:r>
      <w:r>
        <w:rPr>
          <w:i/>
          <w:iCs/>
        </w:rPr>
        <w:t xml:space="preserve">Alcance</w:t>
      </w:r>
      <w:r>
        <w:t xml:space="preserve">: ChatGPT se empleó en la revisión conceptual del proyecto, el contraste de pasajes, la organización del argumento y el apoyo a la redacción ⟦ajustar⟧; Claude, en la lectura asistida de las fuentes, la localización y verificación de citas con su página y la redacción de borradores a partir de esa revisión ⟦ajustar⟧. c)</w:t>
      </w:r>
      <w:r>
        <w:t xml:space="preserve"> </w:t>
      </w:r>
      <w:r>
        <w:rPr>
          <w:i/>
          <w:iCs/>
        </w:rPr>
        <w:t xml:space="preserve">Rol</w:t>
      </w:r>
      <w:r>
        <w:t xml:space="preserve">: el autor ⟦o la autora⟧ formuló el problema y las cautelas críticas, decidió las interpretaciones, revisó y reescribió los borradores, verificó las citas contra los originales, es autor ⟦o autora⟧ de la exploración gráfica y responde por la versión final.</w:t>
      </w:r>
    </w:p>
    <w:bookmarkEnd w:id="20"/>
    <w:bookmarkStart w:id="21" w:name="bibliografía"/>
    <w:p>
      <w:pPr>
        <w:pStyle w:val="Heading2"/>
      </w:pPr>
      <w:r>
        <w:t xml:space="preserve">Bibliografía</w:t>
      </w:r>
    </w:p>
    <w:p>
      <w:pPr>
        <w:pStyle w:val="FirstParagraph"/>
      </w:pPr>
      <w:r>
        <w:t xml:space="preserve">Arriarán, Samuel (2021).</w:t>
      </w:r>
      <w:r>
        <w:t xml:space="preserve"> </w:t>
      </w:r>
      <w:r>
        <w:rPr>
          <w:i/>
          <w:iCs/>
        </w:rPr>
        <w:t xml:space="preserve">La representación de la identidad en la literatura boliviana</w:t>
      </w:r>
      <w:r>
        <w:t xml:space="preserve">. Ciudad de México: Universidad Pedagógica Nacional.</w:t>
      </w:r>
    </w:p>
    <w:p>
      <w:pPr>
        <w:pStyle w:val="BodyText"/>
      </w:pPr>
      <w:r>
        <w:t xml:space="preserve">Bachelard, Gaston (1994 [1958]).</w:t>
      </w:r>
      <w:r>
        <w:t xml:space="preserve"> </w:t>
      </w:r>
      <w:r>
        <w:rPr>
          <w:i/>
          <w:iCs/>
        </w:rPr>
        <w:t xml:space="preserve">The Poetics of Space</w:t>
      </w:r>
      <w:r>
        <w:t xml:space="preserve">. Trad. Maria Jolas. Boston: Beacon Press.</w:t>
      </w:r>
    </w:p>
    <w:p>
      <w:pPr>
        <w:pStyle w:val="BodyText"/>
      </w:pPr>
      <w:r>
        <w:t xml:space="preserve">Barnadas, Josep M. (1977).</w:t>
      </w:r>
      <w:r>
        <w:t xml:space="preserve"> </w:t>
      </w:r>
      <w:r>
        <w:rPr>
          <w:i/>
          <w:iCs/>
        </w:rPr>
        <w:t xml:space="preserve">Raúl Botelho Gosálvez: Altiplano. Esquema metodológico de aproximación a la narrativa boliviana</w:t>
      </w:r>
      <w:r>
        <w:t xml:space="preserve">. Cochabamba: Los Amigos del Libro.</w:t>
      </w:r>
    </w:p>
    <w:p>
      <w:pPr>
        <w:pStyle w:val="BodyText"/>
      </w:pPr>
      <w:r>
        <w:t xml:space="preserve">Botelho Gosálvez, Raúl (1982 [1945]).</w:t>
      </w:r>
      <w:r>
        <w:t xml:space="preserve"> </w:t>
      </w:r>
      <w:r>
        <w:rPr>
          <w:i/>
          <w:iCs/>
        </w:rPr>
        <w:t xml:space="preserve">Altiplano</w:t>
      </w:r>
      <w:r>
        <w:t xml:space="preserve">. 7.ª ed. La Paz: Librería Editorial Juventud.</w:t>
      </w:r>
    </w:p>
    <w:p>
      <w:pPr>
        <w:pStyle w:val="BodyText"/>
      </w:pPr>
      <w:r>
        <w:t xml:space="preserve">Cárcamo Pino, Mauricio Arnoldo (2019).</w:t>
      </w:r>
      <w:r>
        <w:t xml:space="preserve"> </w:t>
      </w:r>
      <w:r>
        <w:t xml:space="preserve">“Thinking and Intelligence in the Architectural Design. A Review from Language, Graphuage and Manuage”</w:t>
      </w:r>
      <w:r>
        <w:t xml:space="preserve">. En Carlos Luis Marcos Alba (ed.),</w:t>
      </w:r>
      <w:r>
        <w:t xml:space="preserve"> </w:t>
      </w:r>
      <w:r>
        <w:rPr>
          <w:i/>
          <w:iCs/>
        </w:rPr>
        <w:t xml:space="preserve">Graphic Imprints. The Influence of Representation and Ideation Tools in Architecture. EGA 2018</w:t>
      </w:r>
      <w:r>
        <w:t xml:space="preserve">. Cham: Springer: 1411-1423.</w:t>
      </w:r>
    </w:p>
    <w:p>
      <w:pPr>
        <w:pStyle w:val="BodyText"/>
      </w:pPr>
      <w:r>
        <w:t xml:space="preserve">Cárcamo Pino, Mauricio Arnoldo (2025a).</w:t>
      </w:r>
      <w:r>
        <w:t xml:space="preserve"> </w:t>
      </w:r>
      <w:r>
        <w:t xml:space="preserve">“Madera, herramientas y manuaje. Notas para una ontología evolutiva del diseñar”</w:t>
      </w:r>
      <w:r>
        <w:t xml:space="preserve">.</w:t>
      </w:r>
      <w:r>
        <w:t xml:space="preserve"> </w:t>
      </w:r>
      <w:r>
        <w:rPr>
          <w:i/>
          <w:iCs/>
        </w:rPr>
        <w:t xml:space="preserve">Revista Arteoficio</w:t>
      </w:r>
      <w:r>
        <w:t xml:space="preserve">, 21: 5-12. https://doi.org/10.35588/nn3v3487</w:t>
      </w:r>
    </w:p>
    <w:p>
      <w:pPr>
        <w:pStyle w:val="BodyText"/>
      </w:pPr>
      <w:r>
        <w:t xml:space="preserve">Cárcamo Pino, Mauricio Arnoldo (2025b).</w:t>
      </w:r>
      <w:r>
        <w:t xml:space="preserve"> </w:t>
      </w:r>
      <w:r>
        <w:t xml:space="preserve">“Oralitura/literatura y manuaje/lenguaje: una revisión por reescritura”</w:t>
      </w:r>
      <w:r>
        <w:t xml:space="preserve">.</w:t>
      </w:r>
      <w:r>
        <w:t xml:space="preserve"> </w:t>
      </w:r>
      <w:r>
        <w:rPr>
          <w:i/>
          <w:iCs/>
        </w:rPr>
        <w:t xml:space="preserve">Revista Chilena de Literatura</w:t>
      </w:r>
      <w:r>
        <w:t xml:space="preserve">, 112: 233-264.</w:t>
      </w:r>
    </w:p>
    <w:p>
      <w:pPr>
        <w:pStyle w:val="BodyText"/>
      </w:pPr>
      <w:r>
        <w:t xml:space="preserve">Lefebvre, Henri (1991 [1974]).</w:t>
      </w:r>
      <w:r>
        <w:t xml:space="preserve"> </w:t>
      </w:r>
      <w:r>
        <w:rPr>
          <w:i/>
          <w:iCs/>
        </w:rPr>
        <w:t xml:space="preserve">The Production of Space</w:t>
      </w:r>
      <w:r>
        <w:t xml:space="preserve">. Trad. Donald Nicholson-Smith. Oxford: Blackwell.</w:t>
      </w:r>
    </w:p>
    <w:p>
      <w:pPr>
        <w:pStyle w:val="BodyText"/>
      </w:pPr>
      <w:r>
        <w:t xml:space="preserve">Lundberg, Simon (2019).</w:t>
      </w:r>
      <w:r>
        <w:t xml:space="preserve"> </w:t>
      </w:r>
      <w:r>
        <w:rPr>
          <w:i/>
          <w:iCs/>
        </w:rPr>
        <w:t xml:space="preserve">Architecture as Image</w:t>
      </w:r>
      <w:r>
        <w:t xml:space="preserve">. Proyecto de grado en Arquitectura, nivel avanzado. Estocolmo: KTH, TRITA-ABE-MBT-19132.</w:t>
      </w:r>
    </w:p>
    <w:p>
      <w:pPr>
        <w:pStyle w:val="BodyText"/>
      </w:pPr>
      <w:r>
        <w:t xml:space="preserve">Martin, Richard (2014).</w:t>
      </w:r>
      <w:r>
        <w:t xml:space="preserve"> </w:t>
      </w:r>
      <w:r>
        <w:rPr>
          <w:i/>
          <w:iCs/>
        </w:rPr>
        <w:t xml:space="preserve">The Architecture of David Lynch</w:t>
      </w:r>
      <w:r>
        <w:t xml:space="preserve">. Londres y Nueva York: Bloomsbury Academic.</w:t>
      </w:r>
    </w:p>
    <w:p>
      <w:pPr>
        <w:pStyle w:val="BodyText"/>
      </w:pPr>
      <w:r>
        <w:t xml:space="preserve">Pareyson, Luigi (2002 [1954]).</w:t>
      </w:r>
      <w:r>
        <w:t xml:space="preserve"> </w:t>
      </w:r>
      <w:r>
        <w:rPr>
          <w:i/>
          <w:iCs/>
        </w:rPr>
        <w:t xml:space="preserve">Estetica. Teoria della formatività</w:t>
      </w:r>
      <w:r>
        <w:t xml:space="preserve">. Milán: Bompiani.</w:t>
      </w:r>
    </w:p>
    <w:p>
      <w:pPr>
        <w:pStyle w:val="BodyText"/>
      </w:pPr>
      <w:r>
        <w:t xml:space="preserve">Rodley, Chris (ed.) (2005).</w:t>
      </w:r>
      <w:r>
        <w:t xml:space="preserve"> </w:t>
      </w:r>
      <w:r>
        <w:rPr>
          <w:i/>
          <w:iCs/>
        </w:rPr>
        <w:t xml:space="preserve">Lynch on Lynch</w:t>
      </w:r>
      <w:r>
        <w:t xml:space="preserve">. Londres: Faber and Faber.</w:t>
      </w:r>
    </w:p>
    <w:p>
      <w:pPr>
        <w:pStyle w:val="BodyText"/>
      </w:pPr>
      <w:r>
        <w:t xml:space="preserve">Shonfield, Katherine (2000).</w:t>
      </w:r>
      <w:r>
        <w:t xml:space="preserve"> </w:t>
      </w:r>
      <w:r>
        <w:rPr>
          <w:i/>
          <w:iCs/>
        </w:rPr>
        <w:t xml:space="preserve">Walls Have Feelings: Architecture, Film and the City</w:t>
      </w:r>
      <w:r>
        <w:t xml:space="preserve">. Londres: Routledge.</w:t>
      </w:r>
    </w:p>
    <w:p>
      <w:pPr>
        <w:pStyle w:val="BodyText"/>
      </w:pPr>
      <w:r>
        <w:t xml:space="preserve">Vázquez Ramos, Fernando Guillermo; Dias Ribeiro, Carlos Eduardo; Quedas Campoy, Carlos y Ferreira de Paula, Franklin Roberto (2023).</w:t>
      </w:r>
      <w:r>
        <w:t xml:space="preserve"> </w:t>
      </w:r>
      <w:r>
        <w:t xml:space="preserve">“Reflexões sobre a construção histórica do conceito de espaço: uma aproximação”</w:t>
      </w:r>
      <w:r>
        <w:t xml:space="preserve">.</w:t>
      </w:r>
      <w:r>
        <w:t xml:space="preserve"> </w:t>
      </w:r>
      <w:r>
        <w:rPr>
          <w:i/>
          <w:iCs/>
        </w:rPr>
        <w:t xml:space="preserve">Risco. Revista de Pesquisa em Arquitetura e Urbanismo</w:t>
      </w:r>
      <w:r>
        <w:t xml:space="preserve">, 21: 1-18. https://doi.org/10.11606/1984-4506.risco.2023.187844</w:t>
      </w:r>
    </w:p>
    <w:bookmarkEnd w:id="21"/>
    <w:bookmarkEnd w:id="22"/>
    <w:sectPr>
      <w:footnotePr>
        <w:numRestart w:val="eachSect"/>
      </w:footnotePr>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⟦Formación y grado académico⟧. ⟦Adscripción institucional⟧. ⟦Principales publicaciones⟧. Correo electrónico: ⟦correo⟧. ⟦Ciudad⟧, ⟦país⟧. (Máximo 100 palabras).</w:t>
      </w:r>
    </w:p>
  </w:footnote>
  <w:footnote w:id="11">
    <w:p>
      <w:pPr>
        <w:pStyle w:val="FootnoteText"/>
      </w:pPr>
      <w:r>
        <w:rPr>
          <w:rStyle w:val="FootnoteReference"/>
        </w:rPr>
        <w:footnoteRef/>
      </w:r>
      <w:r>
        <w:t xml:space="preserve"> </w:t>
      </w:r>
      <w:r>
        <w:t xml:space="preserve">Las traducciones de las citas en inglés y en portugués son nuestras.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120" w:before="240" w:line="36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360" w:lineRule="auto"/>
    </w:pPr>
    <w:rPr>
      <w:rFonts w:ascii="Times New Roman" w:cs="Times New Roman" w:eastAsia="Times New Roman" w:hAnsi="Times New Roman"/>
      <w:b/>
      <w:i w:val="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0" w:line="36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120" w:before="0" w:line="360" w:lineRule="auto"/>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360" w:lineRule="auto"/>
    </w:pPr>
    <w:rPr>
      <w:rFonts w:ascii="Times New Roman" w:cs="Times New Roman" w:eastAsia="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360" w:lineRule="auto"/>
    </w:pPr>
    <w:rPr>
      <w:rFonts w:ascii="Times New Roman" w:cs="Times New Roman" w:eastAsia="Times New Roman" w:hAnsi="Times New Roman"/>
      <w:b/>
      <w:sz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rPr>
  </w:style>
  <w:style w:styleId="Caption" w:type="paragraph">
    <w:name w:val="Caption"/>
    <w:basedOn w:val="Normal"/>
    <w:link w:val="BodyTextChar"/>
    <w:pPr>
      <w:spacing w:after="240" w:before="60" w:line="240" w:lineRule="auto"/>
    </w:pPr>
    <w:rPr>
      <w:rFonts w:ascii="Times New Roman" w:cs="Times New Roman" w:eastAsia="Times New Roman" w:hAnsi="Times New Roman"/>
      <w:i w:val="0"/>
      <w:sz w:val="20"/>
    </w:rPr>
  </w:style>
  <w:style w:customStyle="1" w:styleId="TableCaption" w:type="paragraph">
    <w:name w:val="Table Caption"/>
    <w:basedOn w:val="Caption"/>
    <w:pPr>
      <w:keepNext/>
      <w:spacing w:after="240" w:before="60" w:line="240" w:lineRule="auto"/>
    </w:pPr>
    <w:rPr>
      <w:rFonts w:ascii="Times New Roman" w:cs="Times New Roman" w:eastAsia="Times New Roman" w:hAnsi="Times New Roman"/>
      <w:i w:val="0"/>
      <w:sz w:val="20"/>
    </w:rPr>
  </w:style>
  <w:style w:customStyle="1" w:styleId="ImageCaption" w:type="paragraph">
    <w:name w:val="Image Caption"/>
    <w:basedOn w:val="Caption"/>
    <w:pPr>
      <w:spacing w:after="240" w:before="60" w:line="240" w:lineRule="auto"/>
      <w:jc w:val="center"/>
    </w:pPr>
    <w:rPr>
      <w:rFonts w:ascii="Times New Roman" w:cs="Times New Roman" w:eastAsia="Times New Roman" w:hAnsi="Times New Roman"/>
      <w:i w:val="0"/>
      <w:sz w:val="20"/>
    </w:rPr>
  </w:style>
  <w:style w:customStyle="1" w:styleId="Figure" w:type="paragraph">
    <w:name w:val="Figure"/>
    <w:basedOn w:val="Normal"/>
    <w:pPr>
      <w:spacing w:after="120" w:before="0" w:line="360" w:lineRule="auto"/>
      <w:jc w:val="center"/>
    </w:pPr>
    <w:rPr>
      <w:rFonts w:ascii="Times New Roman" w:cs="Times New Roman" w:eastAsia="Times New Roman" w:hAnsi="Times New Roman"/>
      <w:sz w:val="24"/>
    </w:rPr>
  </w:style>
  <w:style w:customStyle="1" w:styleId="CaptionedFigure" w:type="paragraph">
    <w:name w:val="Captioned Figure"/>
    <w:basedOn w:val="Figure"/>
    <w:pPr>
      <w:keepNext/>
      <w:spacing w:after="120" w:before="0" w:line="360" w:lineRule="auto"/>
      <w:jc w:val="center"/>
    </w:pPr>
    <w:rPr>
      <w:rFonts w:ascii="Times New Roman" w:cs="Times New Roman" w:eastAsia="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igura" w:type="paragraph">
    <w:name w:val="Figura"/>
    <w:basedOn w:val="Normal"/>
    <w:pPr>
      <w:keepNext/>
      <w:spacing w:after="60" w:before="240" w:line="240" w:lineRule="auto"/>
      <w:jc w:val="center"/>
    </w:pPr>
    <w:rPr>
      <w:rFonts w:ascii="Times New Roman" w:cs="Times New Roman" w:eastAsia="Times New Roman" w:hAnsi="Times New Roman"/>
      <w:i w:val="0"/>
      <w:sz w:val="24"/>
    </w:rPr>
  </w:style>
  <w:style w:customStyle="1" w:styleId="Piedefigura" w:type="paragraph">
    <w:name w:val="Pie de figura"/>
    <w:basedOn w:val="Normal"/>
    <w:pPr>
      <w:keepNext w:val="0"/>
      <w:spacing w:after="240" w:before="60" w:line="240" w:lineRule="auto"/>
      <w:jc w:val="center"/>
    </w:pPr>
    <w:rPr>
      <w:rFonts w:ascii="Times New Roman" w:cs="Times New Roman" w:eastAsia="Times New Roman" w:hAnsi="Times New Roman"/>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2026-09-25T15:18:36Z</dcterms:created>
  <dcterms:modified xsi:type="dcterms:W3CDTF">2026-09-25T15:18:36Z</dcterms:modified>
</cp:coreProperties>
</file>

<file path=docProps/custom.xml><?xml version="1.0" encoding="utf-8"?>
<Properties xmlns="http://schemas.openxmlformats.org/officeDocument/2006/custom-properties" xmlns:vt="http://schemas.openxmlformats.org/officeDocument/2006/docPropsVTypes"/>
</file>