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fdf5c4b111121f61c3e47682ce38e3b1cc2db9c"/>
    <w:p>
      <w:pPr>
        <w:pStyle w:val="Heading1"/>
      </w:pPr>
      <w:r>
        <w:t xml:space="preserve">La cosecha de piedras: piedra, papel y máquina en</w:t>
      </w:r>
      <w:r>
        <w:t xml:space="preserve"> </w:t>
      </w:r>
      <w:r>
        <w:rPr>
          <w:i/>
          <w:iCs/>
        </w:rPr>
        <w:t xml:space="preserve">Altiplano</w:t>
      </w:r>
    </w:p>
    <w:p>
      <w:pPr>
        <w:pStyle w:val="FirstParagraph"/>
      </w:pPr>
      <w:r>
        <w:rPr>
          <w:b/>
          <w:bCs/>
        </w:rPr>
        <w:t xml:space="preserve">The Harvest of Stones: Stone, Paper and Machine in</w:t>
      </w:r>
      <w:r>
        <w:rPr>
          <w:b/>
          <w:bCs/>
        </w:rPr>
        <w:t xml:space="preserve"> </w:t>
      </w:r>
      <w:r>
        <w:rPr>
          <w:b/>
          <w:bCs/>
          <w:i/>
          <w:iCs/>
        </w:rPr>
        <w:t xml:space="preserve">Altiplano</w:t>
      </w:r>
    </w:p>
    <w:p>
      <w:pPr>
        <w:pStyle w:val="BodyText"/>
      </w:pPr>
      <w:r>
        <w:t xml:space="preserve">Joaquin Max Cuevas Ventura</w:t>
      </w:r>
      <w:r>
        <w:rPr>
          <w:rStyle w:val="FootnoteReference"/>
        </w:rPr>
        <w:footnoteReference w:id="9"/>
      </w:r>
    </w:p>
    <w:p>
      <w:pPr>
        <w:pStyle w:val="BodyText"/>
      </w:pPr>
      <w:r>
        <w:rPr>
          <w:b/>
          <w:bCs/>
        </w:rPr>
        <w:t xml:space="preserve">Resumen</w:t>
      </w:r>
    </w:p>
    <w:p>
      <w:pPr>
        <w:pStyle w:val="BodyText"/>
      </w:pPr>
      <w:r>
        <w:t xml:space="preserve">El artículo lee</w:t>
      </w:r>
      <w:r>
        <w:t xml:space="preserve"> </w:t>
      </w:r>
      <w:r>
        <w:rPr>
          <w:i/>
          <w:iCs/>
        </w:rPr>
        <w:t xml:space="preserve">Altiplano</w:t>
      </w:r>
      <w:r>
        <w:t xml:space="preserve"> </w:t>
      </w:r>
      <w:r>
        <w:t xml:space="preserve">(1945),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pPr>
      <w:r>
        <w:rPr>
          <w:b/>
          <w:bCs/>
        </w:rPr>
        <w:t xml:space="preserve">Palabras clave:</w:t>
      </w:r>
      <w:r>
        <w:t xml:space="preserve"> </w:t>
      </w:r>
      <w:r>
        <w:t xml:space="preserve">Botelho Gosálvez; ayllu; despojo; manuaje; dibujo como investigación.</w:t>
      </w:r>
    </w:p>
    <w:p>
      <w:pPr>
        <w:pStyle w:val="BodyText"/>
      </w:pPr>
      <w:r>
        <w:rPr>
          <w:b/>
          <w:bCs/>
        </w:rPr>
        <w:t xml:space="preserve">Abstract</w:t>
      </w:r>
    </w:p>
    <w:p>
      <w:pPr>
        <w:pStyle w:val="BodyText"/>
      </w:pPr>
      <w:r>
        <w:t xml:space="preserve">This article reads</w:t>
      </w:r>
      <w:r>
        <w:t xml:space="preserve"> </w:t>
      </w:r>
      <w:r>
        <w:rPr>
          <w:i/>
          <w:iCs/>
        </w:rPr>
        <w:t xml:space="preserve">Altiplano</w:t>
      </w:r>
      <w:r>
        <w:t xml:space="preserve"> </w:t>
      </w:r>
      <w:r>
        <w:t xml:space="preserve">(1945),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pPr>
      <w:r>
        <w:rPr>
          <w:b/>
          <w:bCs/>
        </w:rPr>
        <w:t xml:space="preserve">Keywords:</w:t>
      </w:r>
      <w:r>
        <w:t xml:space="preserve"> </w:t>
      </w:r>
      <w:r>
        <w:t xml:space="preserve">Botelho Gosálvez; ayllu; dispossession; manuage; drawing as research.</w:t>
      </w:r>
    </w:p>
    <w:p>
      <w:pPr>
        <w:pStyle w:val="Epígrafe"/>
      </w:pPr>
      <w:r>
        <w:t xml:space="preserve">«Mirando al pasado para caminar por el presente y el futuro (</w:t>
      </w:r>
      <w:r>
        <w:rPr>
          <w:i/>
          <w:iCs/>
        </w:rPr>
        <w:t xml:space="preserve">qhip nayr uñtasis sarnaqapxañani</w:t>
      </w:r>
      <w:r>
        <w:t xml:space="preserve">)».</w:t>
      </w:r>
    </w:p>
    <w:p>
      <w:pPr>
        <w:pStyle w:val="Epígrafe"/>
      </w:pPr>
      <w:r>
        <w:t xml:space="preserve">Lema del Taller de Historia Oral Andina (Rivera Cusicanqui, 2010 [1984]: 17)</w:t>
      </w:r>
    </w:p>
    <w:bookmarkStart w:id="12" w:name="introducción-una-cosecha-de-piedras"/>
    <w:p>
      <w:pPr>
        <w:pStyle w:val="Heading2"/>
      </w:pPr>
      <w:r>
        <w:t xml:space="preserve">1. Introducción: una cosecha de piedras</w:t>
      </w:r>
    </w:p>
    <w:p>
      <w:pPr>
        <w:pStyle w:val="FirstParagraph"/>
      </w:pPr>
      <w:r>
        <w:t xml:space="preserve">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pPr>
      <w:r>
        <w:t xml:space="preserve">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pPr>
      <w:r>
        <w:t xml:space="preserve">La escena encierra una paradoja: lo que se cosecha es el obstáculo, y la tierra</w:t>
      </w:r>
      <w:r>
        <w:t xml:space="preserve"> </w:t>
      </w:r>
      <w:r>
        <w:rPr>
          <w:i/>
          <w:iCs/>
        </w:rPr>
        <w:t xml:space="preserve">pare</w:t>
      </w:r>
      <w:r>
        <w:t xml:space="preserve"> </w:t>
      </w:r>
      <w:r>
        <w:t xml:space="preserve">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w:t>
      </w:r>
      <w:r>
        <w:t xml:space="preserve"> </w:t>
      </w:r>
      <w:r>
        <w:rPr>
          <w:i/>
          <w:iCs/>
        </w:rPr>
        <w:t xml:space="preserve">Altiplano</w:t>
      </w:r>
      <w:r>
        <w:t xml:space="preserve">, aquella en la que habitar y enterrar casi no se distinguen. Como observa Tim Ingold, el montón «no se construye: crece» (Ingold, 2013: 78)</w:t>
      </w:r>
      <w:r>
        <w:rPr>
          <w:rStyle w:val="FootnoteReference"/>
        </w:rPr>
        <w:footnoteReference w:id="10"/>
      </w:r>
      <w:r>
        <w:t xml:space="preserve">; en Jatun-Kolla, crece con cada cosecha.</w:t>
      </w:r>
    </w:p>
    <w:p>
      <w:pPr>
        <w:pStyle w:val="BodyText"/>
      </w:pPr>
      <w:r>
        <w:t xml:space="preserve">El aymara colonial tenía palabras para todo esto. El vocabulario que el jesuita Ludovico Bertonio publicó en 1612 registra un verbo para la faena,</w:t>
      </w:r>
      <w:r>
        <w:t xml:space="preserve"> </w:t>
      </w:r>
      <w:r>
        <w:rPr>
          <w:i/>
          <w:iCs/>
        </w:rPr>
        <w:t xml:space="preserve">wanqathapiña</w:t>
      </w:r>
      <w:r>
        <w:t xml:space="preserve">, «amontonar piedras sacándolas» (Bertonio, 2011 [1612]: 77), y un solo nombre,</w:t>
      </w:r>
      <w:r>
        <w:t xml:space="preserve"> </w:t>
      </w:r>
      <w:r>
        <w:rPr>
          <w:i/>
          <w:iCs/>
        </w:rPr>
        <w:t xml:space="preserve">chhaxwa</w:t>
      </w:r>
      <w: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Kenneth Frampton distingue la masa formada por «apilamiento repetitivo de elementos pesados», «ya sea piedra o adobe», del armazón que ensambla «componentes ligeros y lineales» (Frampton, 1995: 5): la estereotomía y la tectónica. El montón es masa sin edificio, y</w:t>
      </w:r>
      <w:r>
        <w:t xml:space="preserve"> </w:t>
      </w:r>
      <w:r>
        <w:rPr>
          <w:i/>
          <w:iCs/>
        </w:rPr>
        <w:t xml:space="preserve">chhaxwa</w:t>
      </w:r>
      <w:r>
        <w:t xml:space="preserve"> </w:t>
      </w:r>
      <w:r>
        <w:t xml:space="preserve">nombra el punto exacto donde la masa y el armazón se tocan. Esa tensión entre la piedra que pesa y la madera que ata recorre la novela, de la chujlla a la mina.</w:t>
      </w:r>
    </w:p>
    <w:p>
      <w:pPr>
        <w:pStyle w:val="BodyText"/>
      </w:pPr>
      <w:r>
        <w:t xml:space="preserve">Este artículo hace dos preguntas. ¿Qué sabe</w:t>
      </w:r>
      <w:r>
        <w:t xml:space="preserve"> </w:t>
      </w:r>
      <w:r>
        <w:rPr>
          <w:i/>
          <w:iCs/>
        </w:rPr>
        <w:t xml:space="preserve">Altiplano</w:t>
      </w:r>
      <w:r>
        <w:t xml:space="preserve"> </w:t>
      </w:r>
      <w:r>
        <w:t xml:space="preserve">sobre el habitar cuando se la lee siguiendo sus piedras? ¿Y qué añade a esa lectura un dibujo hecho con una materia, el pastel al óleo, que trabaja como el comunario, sumando y quitando?</w:t>
      </w:r>
      <w:r>
        <w:rPr>
          <w:rStyle w:val="FootnoteReference"/>
        </w:rPr>
        <w:footnoteReference w:id="11"/>
      </w:r>
      <w:r>
        <w:t xml:space="preserve"> </w:t>
      </w:r>
      <w:r>
        <w:t xml:space="preserve">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La aldea la reescribe con papeles: títulos, expedientes, ordenanzas. La mina convierte el mismo gesto en mercancía con máquinas. Como en el juego de piedra, papel o tijera, el papel le gana a la piedra por regla, no por peso: ante la ley, un mojón no vale lo que un título. El dibujo, al repetir las operaciones de la novela con otra materia, obliga a decidir lo que el texto deja abierto y deja ver lo que el narrador impone.</w:t>
      </w:r>
    </w:p>
    <w:p>
      <w:pPr>
        <w:pStyle w:val="BodyText"/>
      </w:pPr>
      <w: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w:t>
      </w:r>
      <w:r>
        <w:t xml:space="preserve"> </w:t>
      </w:r>
      <w:r>
        <w:rPr>
          <w:i/>
          <w:iCs/>
        </w:rPr>
        <w:t xml:space="preserve">Altiplano</w:t>
      </w:r>
      <w:r>
        <w:t xml:space="preserve"> </w:t>
      </w:r>
      <w:r>
        <w:t xml:space="preserve">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pPr>
      <w:r>
        <w:t xml:space="preserve">La lectura se hace desde la arquitectura y el dibujo, con las herramientas de ese oficio: la planta, el corte, el peso de los materiales, la mano que dibuja. Primero, en</w:t>
      </w:r>
      <w:r>
        <w:t xml:space="preserve"> </w:t>
      </w:r>
      <w:r>
        <w:rPr>
          <w:i/>
          <w:iCs/>
        </w:rPr>
        <w:t xml:space="preserve">Altiplano</w:t>
      </w:r>
      <w:r>
        <w:t xml:space="preserve"> </w:t>
      </w:r>
      <w:r>
        <w:t xml:space="preserve">el saber sobre el espacio es material: piedra, adobe, paja y papel. Segundo, el dibujo, que obliga a decidir punto de vista, escala y límite, deja a la vista las categorías que el lector proyecta. Tercero, si dibujar es, como propone Mauricio Cárcamo Pino, un</w:t>
      </w:r>
      <w:r>
        <w:t xml:space="preserve"> </w:t>
      </w:r>
      <w:r>
        <w:rPr>
          <w:i/>
          <w:iCs/>
        </w:rPr>
        <w:t xml:space="preserve">manuaje</w:t>
      </w:r>
      <w:r>
        <w:t xml:space="preserve">,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p>
    <w:bookmarkEnd w:id="12"/>
    <w:bookmarkStart w:id="13" w:name="X92427c7b6fba06e7fef4b61070b9c7628a70d2e"/>
    <w:p>
      <w:pPr>
        <w:pStyle w:val="Heading2"/>
      </w:pPr>
      <w:r>
        <w:t xml:space="preserve">2. Cómo leer: el espacio, las manos y el dibujo (marco teórico y método)</w:t>
      </w:r>
    </w:p>
    <w:p>
      <w:pPr>
        <w:pStyle w:val="FirstParagraph"/>
      </w:pPr>
      <w:r>
        <w:t xml:space="preserve">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pPr>
      <w: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reúne lugares a distintas alturas que se trabajan juntos, como la puna y el valle; para la segunda, un terreno cercado que se hereda por apellido.</w:t>
      </w:r>
      <w:r>
        <w:t xml:space="preserve"> </w:t>
      </w:r>
      <w:r>
        <w:rPr>
          <w:i/>
          <w:iCs/>
        </w:rPr>
        <w:t xml:space="preserve">Altiplano</w:t>
      </w:r>
      <w:r>
        <w:t xml:space="preserve"> </w:t>
      </w:r>
      <w:r>
        <w:t xml:space="preserve">muestra las dos, y cómo la segunda gana terreno.</w:t>
      </w:r>
    </w:p>
    <w:p>
      <w:pPr>
        <w:pStyle w:val="BodyText"/>
      </w:pPr>
      <w:r>
        <w:t xml:space="preserve">Tampoco la piedra andina es la piedra del narrador. En el aymara de Bertonio,</w:t>
      </w:r>
      <w:r>
        <w:t xml:space="preserve"> </w:t>
      </w:r>
      <w:r>
        <w:rPr>
          <w:i/>
          <w:iCs/>
        </w:rPr>
        <w:t xml:space="preserve">wanqa</w:t>
      </w:r>
      <w:r>
        <w:t xml:space="preserve"> </w:t>
      </w:r>
      <w:r>
        <w:t xml:space="preserve">es solo «piedra muy grande» (Bertonio, 2011 [1612]: 506). Pero Pierre Duviols advierte que los diccionarios callan el «contenido religioso» que dejan ver los juicios coloniales contra la idolatría. Allí, el</w:t>
      </w:r>
      <w:r>
        <w:t xml:space="preserve"> </w:t>
      </w:r>
      <w:r>
        <w:rPr>
          <w:i/>
          <w:iCs/>
        </w:rPr>
        <w:t xml:space="preserve">huanca</w:t>
      </w:r>
      <w:r>
        <w:t xml:space="preserve"> </w:t>
      </w:r>
      <w:r>
        <w:t xml:space="preserve">era «el doble mineral del cadáver sagrado» (Duviols, 1979: 8), una piedra que recordaba «al Huari que primero amojonó tal campo, al que lo cercó, al que lo desbrozó» (ibid.: 13).</w:t>
      </w:r>
      <w:r>
        <w:t xml:space="preserve"> </w:t>
      </w:r>
      <w:r>
        <w:rPr>
          <w:i/>
          <w:iCs/>
        </w:rPr>
        <w:t xml:space="preserve">Huanca</w:t>
      </w:r>
      <w:r>
        <w:t xml:space="preserve">, grafía colonial de</w:t>
      </w:r>
      <w:r>
        <w:t xml:space="preserve"> </w:t>
      </w:r>
      <w:r>
        <w:rPr>
          <w:i/>
          <w:iCs/>
        </w:rPr>
        <w:t xml:space="preserve">wank’a</w:t>
      </w:r>
      <w: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w:t>
      </w:r>
      <w:r>
        <w:t xml:space="preserve"> </w:t>
      </w:r>
      <w:r>
        <w:rPr>
          <w:i/>
          <w:iCs/>
        </w:rPr>
        <w:t xml:space="preserve">wank’a</w:t>
      </w:r>
      <w:r>
        <w:t xml:space="preserve"> </w:t>
      </w:r>
      <w:r>
        <w:t xml:space="preserve">es una piedra con dueño y con lugar; la del narrador, una abstracción.</w:t>
      </w:r>
    </w:p>
    <w:p>
      <w:pPr>
        <w:pStyle w:val="BodyText"/>
      </w:pPr>
      <w:r>
        <w:t xml:space="preserve">¿Con qué leer, entonces? Con las manos. De las imágenes de la materia, Gaston Bachelard escribió: «La vista las nombra, pero la mano las conoce» (Bachelard, 1978 [1942]: 7-8, cit. en Pallasmaa, 2014: 53). En</w:t>
      </w:r>
      <w:r>
        <w:t xml:space="preserve"> </w:t>
      </w:r>
      <w:r>
        <w:rPr>
          <w:i/>
          <w:iCs/>
        </w:rPr>
        <w:t xml:space="preserve">Altiplano</w:t>
      </w:r>
      <w:r>
        <w:t xml:space="preserve">, el narrador nombra; el comunario, que despeja y amontona, conoce. Cárcamo Pino llama</w:t>
      </w:r>
      <w:r>
        <w:t xml:space="preserve"> </w:t>
      </w:r>
      <w:r>
        <w:rPr>
          <w:i/>
          <w:iCs/>
        </w:rPr>
        <w:t xml:space="preserve">manuaje</w:t>
      </w:r>
      <w:r>
        <w:t xml:space="preserve"> </w:t>
      </w:r>
      <w:r>
        <w:t xml:space="preserve">a lo que hacen las manos cuando piensan, expresan o comunican: un «neologismo homólogo al lenguaje, pero con las manos» (Cárcamo Pino, 2019: 1412, cit. en Cárcamo Pino, 2025b: 244). Escribir es una de esas acciones. Cárcamo Pino recuerda además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pPr>
      <w: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w:t>
      </w:r>
      <w:r>
        <w:t xml:space="preserve"> </w:t>
      </w:r>
      <w:r>
        <w:rPr>
          <w:i/>
          <w:iCs/>
        </w:rPr>
        <w:t xml:space="preserve">kuraka</w:t>
      </w:r>
      <w:r>
        <w:t xml:space="preserve"> </w:t>
      </w:r>
      <w:r>
        <w:t xml:space="preserve">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pPr>
      <w:r>
        <w:t xml:space="preserve">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pPr>
      <w:r>
        <w:t xml:space="preserve">El método sigue los cuatro pasos que Simon Lundberg propone para explorar la imagen arquitectónica: observación, disección, ensamblaje e inmersión (Lundberg, 2019: 3). La</w:t>
      </w:r>
      <w:r>
        <w:t xml:space="preserve"> </w:t>
      </w:r>
      <w:r>
        <w:rPr>
          <w:i/>
          <w:iCs/>
        </w:rPr>
        <w:t xml:space="preserve">observación</w:t>
      </w:r>
      <w:r>
        <w:t xml:space="preserve"> </w:t>
      </w:r>
      <w:r>
        <w:t xml:space="preserve">reúne en un fichero los datos del texto, con su página. La</w:t>
      </w:r>
      <w:r>
        <w:t xml:space="preserve"> </w:t>
      </w:r>
      <w:r>
        <w:rPr>
          <w:i/>
          <w:iCs/>
        </w:rPr>
        <w:t xml:space="preserve">disección</w:t>
      </w:r>
      <w:r>
        <w:t xml:space="preserve"> </w:t>
      </w:r>
      <w:r>
        <w:t xml:space="preserve">separa las partes y las ordena según cuatro funciones constructivas: apoyo, vano, masa y límite (Cuadro 1). El</w:t>
      </w:r>
      <w:r>
        <w:t xml:space="preserve"> </w:t>
      </w:r>
      <w:r>
        <w:rPr>
          <w:i/>
          <w:iCs/>
        </w:rPr>
        <w:t xml:space="preserve">ensamblaje</w:t>
      </w:r>
      <w:r>
        <w:t xml:space="preserve"> </w:t>
      </w:r>
      <w:r>
        <w:t xml:space="preserve">las vuelve a juntar, como el</w:t>
      </w:r>
      <w:r>
        <w:t xml:space="preserve"> </w:t>
      </w:r>
      <w:r>
        <w:rPr>
          <w:i/>
          <w:iCs/>
        </w:rPr>
        <w:t xml:space="preserve">capriccio</w:t>
      </w:r>
      <w:r>
        <w:t xml:space="preserve"> </w:t>
      </w:r>
      <w:r>
        <w:t xml:space="preserve">de Canaletto, que reunía edificios de ciudades distintas en una ciudad «completamente imaginaria» (ibid.: 3); sus decisiones, un perfil o una analogía, son del dibujante y no cuentan como hallazgos. La</w:t>
      </w:r>
      <w:r>
        <w:t xml:space="preserve"> </w:t>
      </w:r>
      <w:r>
        <w:rPr>
          <w:i/>
          <w:iCs/>
        </w:rPr>
        <w:t xml:space="preserve">inmersión</w:t>
      </w:r>
      <w:r>
        <w:t xml:space="preserve"> </w:t>
      </w:r>
      <w:r>
        <w:t xml:space="preserve">da atmósfera, sin confundirse «con el realismo visual» (ibid.: 21).</w:t>
      </w:r>
    </w:p>
    <w:p>
      <w:pPr>
        <w:pStyle w:val="BodyText"/>
      </w:pPr>
      <w:r>
        <w:t xml:space="preserve">El pastel conviene a esta novela porque su prosa mide el espacio con el cuerpo. En la jaula de la mina, Condori siente, «como si faltase suelo bajo sus pies», «la vertiginosa caída» (Botelho Gosálvez, 1982 [1945]: 143). Abbie Garrington llama</w:t>
      </w:r>
      <w:r>
        <w:t xml:space="preserve"> </w:t>
      </w:r>
      <w:r>
        <w:rPr>
          <w:i/>
          <w:iCs/>
        </w:rPr>
        <w:t xml:space="preserve">háptico</w:t>
      </w:r>
      <w:r>
        <w:t xml:space="preserve"> </w:t>
      </w:r>
      <w:r>
        <w:t xml:space="preserve">a ese registro, el del tacto y el movimiento del cuerpo (Garrington, 2013: 16). A una prosa del tacto le corresponde un dibujo hecho con los dedos. Cada figura se examina en tres planos: (1)</w:t>
      </w:r>
      <w:r>
        <w:t xml:space="preserve"> </w:t>
      </w:r>
      <w:r>
        <w:rPr>
          <w:i/>
          <w:iCs/>
        </w:rPr>
        <w:t xml:space="preserve">Texto</w:t>
      </w:r>
      <w:r>
        <w:t xml:space="preserve">, lo que describe la novela; (2)</w:t>
      </w:r>
      <w:r>
        <w:t xml:space="preserve"> </w:t>
      </w:r>
      <w:r>
        <w:rPr>
          <w:i/>
          <w:iCs/>
        </w:rPr>
        <w:t xml:space="preserve">Operación</w:t>
      </w:r>
      <w:r>
        <w:t xml:space="preserve">, lo que hace el pastel con la materia; (3)</w:t>
      </w:r>
      <w:r>
        <w:t xml:space="preserve"> </w:t>
      </w:r>
      <w:r>
        <w:rPr>
          <w:i/>
          <w:iCs/>
        </w:rPr>
        <w:t xml:space="preserve">Contraste</w:t>
      </w:r>
      <w:r>
        <w:t xml:space="preserve">, lo que el esquema obliga a decidir y el texto deja abierto o contradice, comparado, cuando se puede, con fuentes andinas.</w:t>
      </w:r>
    </w:p>
    <w:p>
      <w:pPr>
        <w:pStyle w:val="BodyText"/>
      </w:pPr>
      <w:r>
        <w:rPr>
          <w:b/>
          <w:bCs/>
        </w:rPr>
        <w:t xml:space="preserve">Cuadro 1.</w:t>
      </w:r>
      <w:r>
        <w:t xml:space="preserve"> </w:t>
      </w:r>
      <w:r>
        <w:rPr>
          <w:i/>
          <w:iCs/>
        </w:rPr>
        <w:t xml:space="preserve">Disección tectónica de las seis figuras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line="240" w:lineRule="auto" w:after="40"/>
            </w:pPr>
            <w:r>
              <w:rPr>
                <w:rFonts w:ascii="Times New Roman" w:hAnsi="Times New Roman"/>
                <w:sz w:val="20"/>
              </w:rPr>
              <w:t xml:space="preserve">Figura</w:t>
            </w:r>
          </w:p>
        </w:tc>
        <w:tc>
          <w:tcPr/>
          <w:p>
            <w:pPr>
              <w:pStyle w:val="Compact"/>
              <w:spacing w:line="240" w:lineRule="auto" w:after="40"/>
            </w:pPr>
            <w:r>
              <w:rPr>
                <w:rFonts w:ascii="Times New Roman" w:hAnsi="Times New Roman"/>
                <w:sz w:val="20"/>
              </w:rPr>
              <w:t xml:space="preserve">Apoyo</w:t>
            </w:r>
          </w:p>
        </w:tc>
        <w:tc>
          <w:tcPr/>
          <w:p>
            <w:pPr>
              <w:pStyle w:val="Compact"/>
              <w:spacing w:line="240" w:lineRule="auto" w:after="40"/>
            </w:pPr>
            <w:r>
              <w:rPr>
                <w:rFonts w:ascii="Times New Roman" w:hAnsi="Times New Roman"/>
                <w:sz w:val="20"/>
              </w:rPr>
              <w:t xml:space="preserve">Vano</w:t>
            </w:r>
          </w:p>
        </w:tc>
        <w:tc>
          <w:tcPr/>
          <w:p>
            <w:pPr>
              <w:pStyle w:val="Compact"/>
              <w:spacing w:line="240" w:lineRule="auto" w:after="40"/>
            </w:pPr>
            <w:r>
              <w:rPr>
                <w:rFonts w:ascii="Times New Roman" w:hAnsi="Times New Roman"/>
                <w:sz w:val="20"/>
              </w:rPr>
              <w:t xml:space="preserve">Masa</w:t>
            </w:r>
          </w:p>
        </w:tc>
        <w:tc>
          <w:tcPr/>
          <w:p>
            <w:pPr>
              <w:pStyle w:val="Compact"/>
              <w:spacing w:line="240" w:lineRule="auto" w:after="40"/>
            </w:pPr>
            <w:r>
              <w:rPr>
                <w:rFonts w:ascii="Times New Roman" w:hAnsi="Times New Roman"/>
                <w:sz w:val="20"/>
              </w:rPr>
              <w:t xml:space="preserve">Límite</w:t>
            </w:r>
          </w:p>
        </w:tc>
      </w:tr>
      <w:tr>
        <w:tc>
          <w:tcPr/>
          <w:p>
            <w:pPr>
              <w:pStyle w:val="Compact"/>
              <w:spacing w:line="240" w:lineRule="auto" w:after="40"/>
            </w:pPr>
            <w:r>
              <w:rPr>
                <w:rFonts w:ascii="Times New Roman" w:hAnsi="Times New Roman"/>
                <w:sz w:val="20"/>
              </w:rPr>
              <w:t xml:space="preserve">1. Cráneo/nido</w:t>
            </w:r>
          </w:p>
        </w:tc>
        <w:tc>
          <w:tcPr/>
          <w:p>
            <w:pPr>
              <w:pStyle w:val="Compact"/>
              <w:spacing w:line="240" w:lineRule="auto" w:after="40"/>
            </w:pPr>
            <w:r>
              <w:rPr>
                <w:rFonts w:ascii="Times New Roman" w:hAnsi="Times New Roman"/>
                <w:sz w:val="20"/>
              </w:rPr>
              <w:t xml:space="preserve">Muros de piedra del cerro (8); vigas atadas con paja (31)</w:t>
            </w:r>
          </w:p>
        </w:tc>
        <w:tc>
          <w:tcPr/>
          <w:p>
            <w:pPr>
              <w:pStyle w:val="Compact"/>
              <w:spacing w:line="240" w:lineRule="auto" w:after="40"/>
            </w:pPr>
            <w:r>
              <w:rPr>
                <w:rFonts w:ascii="Times New Roman" w:hAnsi="Times New Roman"/>
                <w:sz w:val="20"/>
              </w:rPr>
              <w:t xml:space="preserve">La puerta; el portal de la despedida (34)</w:t>
            </w:r>
          </w:p>
        </w:tc>
        <w:tc>
          <w:tcPr/>
          <w:p>
            <w:pPr>
              <w:pStyle w:val="Compact"/>
              <w:spacing w:line="240" w:lineRule="auto" w:after="40"/>
            </w:pPr>
            <w:r>
              <w:rPr>
                <w:rFonts w:ascii="Times New Roman" w:hAnsi="Times New Roman"/>
                <w:sz w:val="20"/>
              </w:rPr>
              <w:t xml:space="preserve">Hollín, brasero, camastros de un adobe (30-31)</w:t>
            </w:r>
          </w:p>
        </w:tc>
        <w:tc>
          <w:tcPr/>
          <w:p>
            <w:pPr>
              <w:pStyle w:val="Compact"/>
              <w:spacing w:line="240" w:lineRule="auto" w:after="40"/>
            </w:pPr>
            <w:r>
              <w:rPr>
                <w:rFonts w:ascii="Times New Roman" w:hAnsi="Times New Roman"/>
                <w:sz w:val="20"/>
              </w:rPr>
              <w:t xml:space="preserve">Techo de paja con cruz y huaca (10)</w:t>
            </w:r>
          </w:p>
        </w:tc>
      </w:tr>
      <w:tr>
        <w:tc>
          <w:tcPr/>
          <w:p>
            <w:pPr>
              <w:pStyle w:val="Compact"/>
              <w:spacing w:line="240" w:lineRule="auto" w:after="40"/>
            </w:pPr>
            <w:r>
              <w:rPr>
                <w:rFonts w:ascii="Times New Roman" w:hAnsi="Times New Roman"/>
                <w:sz w:val="20"/>
              </w:rPr>
              <w:t xml:space="preserve">2. Signo Escalonado</w:t>
            </w:r>
          </w:p>
        </w:tc>
        <w:tc>
          <w:tcPr/>
          <w:p>
            <w:pPr>
              <w:pStyle w:val="Compact"/>
              <w:spacing w:line="240" w:lineRule="auto" w:after="40"/>
            </w:pPr>
            <w:r>
              <w:rPr>
                <w:rFonts w:ascii="Times New Roman" w:hAnsi="Times New Roman"/>
                <w:sz w:val="20"/>
              </w:rPr>
              <w:t xml:space="preserve">Peones que sostienen a los Villca (21)</w:t>
            </w:r>
          </w:p>
        </w:tc>
        <w:tc>
          <w:tcPr/>
          <w:p>
            <w:pPr>
              <w:pStyle w:val="Compact"/>
              <w:spacing w:line="240" w:lineRule="auto" w:after="40"/>
            </w:pPr>
            <w:r>
              <w:rPr>
                <w:rFonts w:ascii="Times New Roman" w:hAnsi="Times New Roman"/>
                <w:sz w:val="20"/>
              </w:rPr>
              <w:t xml:space="preserve">Quienes «no tienen historia» (22)</w:t>
            </w:r>
          </w:p>
        </w:tc>
        <w:tc>
          <w:tcPr/>
          <w:p>
            <w:pPr>
              <w:pStyle w:val="Compact"/>
              <w:spacing w:line="240" w:lineRule="auto" w:after="40"/>
            </w:pPr>
            <w:r>
              <w:rPr>
                <w:rFonts w:ascii="Times New Roman" w:hAnsi="Times New Roman"/>
                <w:sz w:val="20"/>
              </w:rPr>
              <w:t xml:space="preserve">Tierras de los Villca (20)</w:t>
            </w:r>
          </w:p>
        </w:tc>
        <w:tc>
          <w:tcPr/>
          <w:p>
            <w:pPr>
              <w:pStyle w:val="Compact"/>
              <w:spacing w:line="240" w:lineRule="auto" w:after="40"/>
            </w:pPr>
            <w:r>
              <w:rPr>
                <w:rFonts w:ascii="Times New Roman" w:hAnsi="Times New Roman"/>
                <w:sz w:val="20"/>
              </w:rPr>
              <w:t xml:space="preserve">Estacas, mojones, títulos (9, 20, 36-37)</w:t>
            </w:r>
          </w:p>
        </w:tc>
      </w:tr>
      <w:tr>
        <w:tc>
          <w:tcPr/>
          <w:p>
            <w:pPr>
              <w:pStyle w:val="Compact"/>
              <w:spacing w:line="240" w:lineRule="auto" w:after="40"/>
            </w:pPr>
            <w:r>
              <w:rPr>
                <w:rFonts w:ascii="Times New Roman" w:hAnsi="Times New Roman"/>
                <w:sz w:val="20"/>
              </w:rPr>
              <w:t xml:space="preserve">3. Apacheta</w:t>
            </w:r>
          </w:p>
        </w:tc>
        <w:tc>
          <w:tcPr/>
          <w:p>
            <w:pPr>
              <w:pStyle w:val="Compact"/>
              <w:spacing w:line="240" w:lineRule="auto" w:after="40"/>
            </w:pPr>
            <w:r>
              <w:rPr>
                <w:rFonts w:ascii="Times New Roman" w:hAnsi="Times New Roman"/>
                <w:sz w:val="20"/>
              </w:rPr>
              <w:t xml:space="preserve">Paulo, «gallardete clavado» (109)</w:t>
            </w:r>
          </w:p>
        </w:tc>
        <w:tc>
          <w:tcPr/>
          <w:p>
            <w:pPr>
              <w:pStyle w:val="Compact"/>
              <w:spacing w:line="240" w:lineRule="auto" w:after="40"/>
            </w:pPr>
            <w:r>
              <w:rPr>
                <w:rFonts w:ascii="Times New Roman" w:hAnsi="Times New Roman"/>
                <w:sz w:val="20"/>
              </w:rPr>
              <w:t xml:space="preserve">«Fauces del abismo» (109)</w:t>
            </w:r>
          </w:p>
        </w:tc>
        <w:tc>
          <w:tcPr/>
          <w:p>
            <w:pPr>
              <w:pStyle w:val="Compact"/>
              <w:spacing w:line="240" w:lineRule="auto" w:after="40"/>
            </w:pPr>
            <w:r>
              <w:rPr>
                <w:rFonts w:ascii="Times New Roman" w:hAnsi="Times New Roman"/>
                <w:sz w:val="20"/>
              </w:rPr>
              <w:t xml:space="preserve">Cumbres «góticas», niebla (109)</w:t>
            </w:r>
          </w:p>
        </w:tc>
        <w:tc>
          <w:tcPr/>
          <w:p>
            <w:pPr>
              <w:pStyle w:val="Compact"/>
              <w:spacing w:line="240" w:lineRule="auto" w:after="40"/>
            </w:pPr>
            <w:r>
              <w:rPr>
                <w:rFonts w:ascii="Times New Roman" w:hAnsi="Times New Roman"/>
                <w:sz w:val="20"/>
              </w:rPr>
              <w:t xml:space="preserve">«Muralla que condena el horizonte» (108)</w:t>
            </w:r>
          </w:p>
        </w:tc>
      </w:tr>
      <w:tr>
        <w:tc>
          <w:tcPr/>
          <w:p>
            <w:pPr>
              <w:pStyle w:val="Compact"/>
              <w:spacing w:line="240" w:lineRule="auto" w:after="40"/>
            </w:pPr>
            <w:r>
              <w:rPr>
                <w:rFonts w:ascii="Times New Roman" w:hAnsi="Times New Roman"/>
                <w:sz w:val="20"/>
              </w:rPr>
              <w:t xml:space="preserve">4. Castillete</w:t>
            </w:r>
          </w:p>
        </w:tc>
        <w:tc>
          <w:tcPr/>
          <w:p>
            <w:pPr>
              <w:pStyle w:val="Compact"/>
              <w:spacing w:line="240" w:lineRule="auto" w:after="40"/>
            </w:pPr>
            <w:r>
              <w:rPr>
                <w:rFonts w:ascii="Times New Roman" w:hAnsi="Times New Roman"/>
                <w:sz w:val="20"/>
              </w:rPr>
              <w:t xml:space="preserve">Callapos; viga que se quiebra (145, 154)</w:t>
            </w:r>
          </w:p>
        </w:tc>
        <w:tc>
          <w:tcPr/>
          <w:p>
            <w:pPr>
              <w:pStyle w:val="Compact"/>
              <w:spacing w:line="240" w:lineRule="auto" w:after="40"/>
            </w:pPr>
            <w:r>
              <w:rPr>
                <w:rFonts w:ascii="Times New Roman" w:hAnsi="Times New Roman"/>
                <w:sz w:val="20"/>
              </w:rPr>
              <w:t xml:space="preserve">Pique, nichos, jaula, boquete (141-144)</w:t>
            </w:r>
          </w:p>
        </w:tc>
        <w:tc>
          <w:tcPr/>
          <w:p>
            <w:pPr>
              <w:pStyle w:val="Compact"/>
              <w:spacing w:line="240" w:lineRule="auto" w:after="40"/>
            </w:pPr>
            <w:r>
              <w:rPr>
                <w:rFonts w:ascii="Times New Roman" w:hAnsi="Times New Roman"/>
                <w:sz w:val="20"/>
              </w:rPr>
              <w:t xml:space="preserve">Agua, cascotes, montón (144, 154)</w:t>
            </w:r>
          </w:p>
        </w:tc>
        <w:tc>
          <w:tcPr/>
          <w:p>
            <w:pPr>
              <w:pStyle w:val="Compact"/>
              <w:spacing w:line="240" w:lineRule="auto" w:after="40"/>
            </w:pPr>
            <w:r>
              <w:rPr>
                <w:rFonts w:ascii="Times New Roman" w:hAnsi="Times New Roman"/>
                <w:sz w:val="20"/>
              </w:rPr>
              <w:t xml:space="preserve">Rejilla; agua sobre el cuerpo (143-153)</w:t>
            </w:r>
          </w:p>
        </w:tc>
      </w:tr>
      <w:tr>
        <w:tc>
          <w:tcPr/>
          <w:p>
            <w:pPr>
              <w:pStyle w:val="Compact"/>
              <w:spacing w:line="240" w:lineRule="auto" w:after="40"/>
            </w:pPr>
            <w:r>
              <w:rPr>
                <w:rFonts w:ascii="Times New Roman" w:hAnsi="Times New Roman"/>
                <w:sz w:val="20"/>
              </w:rPr>
              <w:t xml:space="preserve">5. Pelvis telúrica</w:t>
            </w:r>
          </w:p>
        </w:tc>
        <w:tc>
          <w:tcPr/>
          <w:p>
            <w:pPr>
              <w:pStyle w:val="Compact"/>
              <w:spacing w:line="240" w:lineRule="auto" w:after="40"/>
            </w:pPr>
            <w:r>
              <w:rPr>
                <w:rFonts w:ascii="Times New Roman" w:hAnsi="Times New Roman"/>
                <w:sz w:val="20"/>
              </w:rPr>
              <w:t xml:space="preserve">Cadera del ganado (64)</w:t>
            </w:r>
          </w:p>
        </w:tc>
        <w:tc>
          <w:tcPr/>
          <w:p>
            <w:pPr>
              <w:pStyle w:val="Compact"/>
              <w:spacing w:line="240" w:lineRule="auto" w:after="40"/>
            </w:pPr>
            <w:r>
              <w:rPr>
                <w:rFonts w:ascii="Times New Roman" w:hAnsi="Times New Roman"/>
                <w:sz w:val="20"/>
              </w:rPr>
              <w:t xml:space="preserve">Vertientes secas (58)</w:t>
            </w:r>
          </w:p>
        </w:tc>
        <w:tc>
          <w:tcPr/>
          <w:p>
            <w:pPr>
              <w:pStyle w:val="Compact"/>
              <w:spacing w:line="240" w:lineRule="auto" w:after="40"/>
            </w:pPr>
            <w:r>
              <w:rPr>
                <w:rFonts w:ascii="Times New Roman" w:hAnsi="Times New Roman"/>
                <w:sz w:val="20"/>
              </w:rPr>
              <w:t xml:space="preserve">Tierra agrietada (56)</w:t>
            </w:r>
          </w:p>
        </w:tc>
        <w:tc>
          <w:tcPr/>
          <w:p>
            <w:pPr>
              <w:pStyle w:val="Compact"/>
              <w:spacing w:line="240" w:lineRule="auto" w:after="40"/>
            </w:pPr>
            <w:r>
              <w:rPr>
                <w:rFonts w:ascii="Times New Roman" w:hAnsi="Times New Roman"/>
                <w:sz w:val="20"/>
              </w:rPr>
              <w:t xml:space="preserve">Cielo sin pincelada (57)</w:t>
            </w:r>
          </w:p>
        </w:tc>
      </w:tr>
      <w:tr>
        <w:tc>
          <w:tcPr/>
          <w:p>
            <w:pPr>
              <w:pStyle w:val="Compact"/>
              <w:spacing w:line="240" w:lineRule="auto" w:after="40"/>
            </w:pPr>
            <w:r>
              <w:rPr>
                <w:rFonts w:ascii="Times New Roman" w:hAnsi="Times New Roman"/>
                <w:sz w:val="20"/>
              </w:rPr>
              <w:t xml:space="preserve">6. Centinela</w:t>
            </w:r>
          </w:p>
        </w:tc>
        <w:tc>
          <w:tcPr/>
          <w:p>
            <w:pPr>
              <w:pStyle w:val="Compact"/>
              <w:spacing w:line="240" w:lineRule="auto" w:after="40"/>
            </w:pPr>
            <w:r>
              <w:rPr>
                <w:rFonts w:ascii="Times New Roman" w:hAnsi="Times New Roman"/>
                <w:sz w:val="20"/>
              </w:rPr>
              <w:t xml:space="preserve">Cayado; vara de Jilakata (73, 75)</w:t>
            </w:r>
          </w:p>
        </w:tc>
        <w:tc>
          <w:tcPr/>
          <w:p>
            <w:pPr>
              <w:pStyle w:val="Compact"/>
              <w:spacing w:line="240" w:lineRule="auto" w:after="40"/>
            </w:pPr>
            <w:r>
              <w:rPr>
                <w:rFonts w:ascii="Times New Roman" w:hAnsi="Times New Roman"/>
                <w:sz w:val="20"/>
              </w:rPr>
              <w:t xml:space="preserve">Puertas batidas (79)</w:t>
            </w:r>
          </w:p>
        </w:tc>
        <w:tc>
          <w:tcPr/>
          <w:p>
            <w:pPr>
              <w:pStyle w:val="Compact"/>
              <w:spacing w:line="240" w:lineRule="auto" w:after="40"/>
            </w:pPr>
            <w:r>
              <w:rPr>
                <w:rFonts w:ascii="Times New Roman" w:hAnsi="Times New Roman"/>
                <w:sz w:val="20"/>
              </w:rPr>
              <w:t xml:space="preserve">Chujlla de los Villca (79)</w:t>
            </w:r>
          </w:p>
        </w:tc>
        <w:tc>
          <w:tcPr/>
          <w:p>
            <w:pPr>
              <w:pStyle w:val="Compact"/>
              <w:spacing w:line="240" w:lineRule="auto" w:after="40"/>
            </w:pPr>
            <w:r>
              <w:rPr>
                <w:rFonts w:ascii="Times New Roman" w:hAnsi="Times New Roman"/>
                <w:sz w:val="20"/>
              </w:rPr>
              <w:t xml:space="preserve">Mirada sobre la inmensidad (80)</w:t>
            </w:r>
          </w:p>
        </w:tc>
      </w:tr>
    </w:tbl>
    <w:p>
      <w:pPr>
        <w:pStyle w:val="BodyText"/>
      </w:pPr>
      <w:r>
        <w:t xml:space="preserve">Fuente: elaboración propia a partir de Botelho Gosálvez (1982 [1945]); entre paréntesis, páginas de la novela.</w:t>
      </w:r>
    </w:p>
    <w:bookmarkEnd w:id="13"/>
    <w:bookmarkStart w:id="20" w:name="X2ca922873cfceb7333a31b77617b9aa1ee4c107"/>
    <w:p>
      <w:pPr>
        <w:pStyle w:val="Heading2"/>
      </w:pPr>
      <w:r>
        <w:t xml:space="preserve">3. La chujlla: una casa a la medida del cuerpo</w:t>
      </w:r>
    </w:p>
    <w:p>
      <w:pPr>
        <w:pStyle w:val="FirstParagraph"/>
      </w:pPr>
      <w: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w:t>
      </w:r>
      <w:r>
        <w:t xml:space="preserve"> </w:t>
      </w:r>
      <w:r>
        <w:rPr>
          <w:i/>
          <w:iCs/>
        </w:rPr>
        <w:t xml:space="preserve">parecen</w:t>
      </w:r>
      <w:r>
        <w:t xml:space="preserve">: la jerarquía es una lectura del narrador sobre la pendiente, no un dato de la pendiente.</w:t>
      </w:r>
    </w:p>
    <w:p>
      <w:pPr>
        <w:pStyle w:val="BodyText"/>
      </w:pPr>
      <w:r>
        <w:t xml:space="preserve">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w:t>
      </w:r>
    </w:p>
    <w:p>
      <w:pPr>
        <w:pStyle w:val="BodyText"/>
      </w:pPr>
      <w:r>
        <w:rPr>
          <w:b/>
          <w:bCs/>
        </w:rPr>
        <w:t xml:space="preserve">Figura 1.</w:t>
      </w:r>
      <w:r>
        <w:rPr>
          <w:b/>
          <w:bCs/>
        </w:rPr>
        <w:t xml:space="preserve"> </w:t>
      </w:r>
      <w:r>
        <w:rPr>
          <w:b/>
          <w:bCs/>
          <w:i/>
          <w:iCs/>
        </w:rPr>
        <w:t xml:space="preserve">Cráneo/nido</w:t>
      </w:r>
      <w:r>
        <w:rPr>
          <w:b/>
          <w:bCs/>
        </w:rPr>
        <w:t xml:space="preserve">.</w:t>
      </w:r>
      <w:r>
        <w:t xml:space="preserve"> </w:t>
      </w:r>
      <w:r>
        <w:t xml:space="preserve">(1)</w:t>
      </w:r>
      <w:r>
        <w:t xml:space="preserve"> </w:t>
      </w:r>
      <w:r>
        <w:rPr>
          <w:i/>
          <w:iCs/>
        </w:rPr>
        <w:t xml:space="preserve">Texto</w:t>
      </w:r>
      <w:r>
        <w:t xml:space="preserve">. Muros de piedra, fuego al centro, herramientas colgadas (Botelho Gosálvez, 1982 [1945]: 8, 30-31) y, en el techo, un crucifijo con «una pequeña huaca de barro cocido» (ibid.: 10). (2)</w:t>
      </w:r>
      <w:r>
        <w:t xml:space="preserve"> </w:t>
      </w:r>
      <w:r>
        <w:rPr>
          <w:i/>
          <w:iCs/>
        </w:rPr>
        <w:t xml:space="preserve">Operación</w:t>
      </w:r>
      <w: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w:t>
      </w:r>
      <w:r>
        <w:t xml:space="preserve"> </w:t>
      </w:r>
      <w:r>
        <w:rPr>
          <w:i/>
          <w:iCs/>
        </w:rPr>
        <w:t xml:space="preserve">Contraste</w:t>
      </w:r>
      <w:r>
        <w:t xml:space="preserve">. El esquema tiene que decidir desde dónde se mira, y el texto ofrece dos lugares: el del narrador, intruso en la puerta, y el del cuerpo que habita, al que remiten el hollín, los camastros y las herramientas. El corte elige el segundo y se detiene ante el alma de los comunarios, para no hablar por ellos. El narrador, en cambio, la declara cerrada, «nadie podía entrar», y los ve como estatuas de «hierático aspecto» (Botelho Gosálvez, 1982 [1945]: 65).</w:t>
      </w:r>
    </w:p>
    <w:p>
      <w:pPr>
        <w:pStyle w:val="Figura"/>
      </w:pPr>
      <w:r>
        <w:drawing>
          <wp:inline>
            <wp:extent cx="5039999" cy="2867142"/>
            <wp:effectExtent b="0" l="0" r="0" t="0"/>
            <wp:docPr descr="" title="" id="15" name="Picture"/>
            <a:graphic>
              <a:graphicData uri="http://schemas.openxmlformats.org/drawingml/2006/picture">
                <pic:pic>
                  <pic:nvPicPr>
                    <pic:cNvPr descr="figuras/figura_1.png" id="16" name="Picture"/>
                    <pic:cNvPicPr>
                      <a:picLocks noChangeArrowheads="1" noChangeAspect="1"/>
                    </pic:cNvPicPr>
                  </pic:nvPicPr>
                  <pic:blipFill>
                    <a:blip r:embed="rId14"/>
                    <a:stretch>
                      <a:fillRect/>
                    </a:stretch>
                  </pic:blipFill>
                  <pic:spPr bwMode="auto">
                    <a:xfrm>
                      <a:off x="0" y="0"/>
                      <a:ext cx="5039999" cy="2867142"/>
                    </a:xfrm>
                    <a:prstGeom prst="rect">
                      <a:avLst/>
                    </a:prstGeom>
                    <a:noFill/>
                    <a:ln w="9525">
                      <a:noFill/>
                      <a:headEnd/>
                      <a:tailEnd/>
                    </a:ln>
                  </pic:spPr>
                </pic:pic>
              </a:graphicData>
            </a:graphic>
          </wp:inline>
        </w:drawing>
      </w:r>
    </w:p>
    <w:p>
      <w:pPr>
        <w:pStyle w:val="Piedefigura"/>
      </w:pPr>
      <w:r>
        <w:rPr>
          <w:b/>
          <w:bCs/>
        </w:rPr>
        <w:t xml:space="preserve">Figura 1.</w:t>
      </w:r>
      <w:r>
        <w:t xml:space="preserve"> </w:t>
      </w:r>
      <w:r>
        <w:rPr>
          <w:i/>
          <w:iCs/>
        </w:rPr>
        <w:t xml:space="preserve">Cráneo/nido: sección de la chujlla de los Huanca</w:t>
      </w:r>
      <w:r>
        <w:t xml:space="preserve">. Esquema de encaje del pastel al óleo. Fuente: elaboración propia con asistencia de IA.</w:t>
      </w:r>
    </w:p>
    <w:p>
      <w:pPr>
        <w:pStyle w:val="BodyText"/>
      </w:pPr>
      <w:r>
        <w:t xml:space="preserve">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pPr>
      <w:r>
        <w:t xml:space="preserve">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pPr>
      <w:r>
        <w:rPr>
          <w:b/>
          <w:bCs/>
        </w:rPr>
        <w:t xml:space="preserve">Figura 2.</w:t>
      </w:r>
      <w:r>
        <w:rPr>
          <w:b/>
          <w:bCs/>
        </w:rPr>
        <w:t xml:space="preserve"> </w:t>
      </w:r>
      <w:r>
        <w:rPr>
          <w:b/>
          <w:bCs/>
          <w:i/>
          <w:iCs/>
        </w:rPr>
        <w:t xml:space="preserve">Signo Escalonado frente al mapa</w:t>
      </w:r>
      <w:r>
        <w:rPr>
          <w:b/>
          <w:bCs/>
        </w:rPr>
        <w:t xml:space="preserve">.</w:t>
      </w:r>
      <w:r>
        <w:t xml:space="preserve"> </w:t>
      </w:r>
      <w:r>
        <w:t xml:space="preserve">(1)</w:t>
      </w:r>
      <w:r>
        <w:t xml:space="preserve"> </w:t>
      </w:r>
      <w:r>
        <w:rPr>
          <w:i/>
          <w:iCs/>
        </w:rPr>
        <w:t xml:space="preserve">Texto</w:t>
      </w:r>
      <w: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w:t>
      </w:r>
      <w:r>
        <w:t xml:space="preserve"> </w:t>
      </w:r>
      <w:r>
        <w:rPr>
          <w:i/>
          <w:iCs/>
        </w:rPr>
        <w:t xml:space="preserve">Operación</w:t>
      </w:r>
      <w: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w:t>
      </w:r>
      <w:r>
        <w:t xml:space="preserve"> </w:t>
      </w:r>
      <w:r>
        <w:rPr>
          <w:i/>
          <w:iCs/>
        </w:rPr>
        <w:t xml:space="preserve">Contraste</w:t>
      </w:r>
      <w:r>
        <w:t xml:space="preserve">.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pPr>
      <w:r>
        <w:drawing>
          <wp:inline>
            <wp:extent cx="4679999" cy="3786545"/>
            <wp:effectExtent b="0" l="0" r="0" t="0"/>
            <wp:docPr descr="" title="" id="18" name="Picture"/>
            <a:graphic>
              <a:graphicData uri="http://schemas.openxmlformats.org/drawingml/2006/picture">
                <pic:pic>
                  <pic:nvPicPr>
                    <pic:cNvPr descr="figuras/figura_2.png" id="19" name="Picture"/>
                    <pic:cNvPicPr>
                      <a:picLocks noChangeArrowheads="1" noChangeAspect="1"/>
                    </pic:cNvPicPr>
                  </pic:nvPicPr>
                  <pic:blipFill>
                    <a:blip r:embed="rId17"/>
                    <a:stretch>
                      <a:fillRect/>
                    </a:stretch>
                  </pic:blipFill>
                  <pic:spPr bwMode="auto">
                    <a:xfrm>
                      <a:off x="0" y="0"/>
                      <a:ext cx="4679999" cy="3786545"/>
                    </a:xfrm>
                    <a:prstGeom prst="rect">
                      <a:avLst/>
                    </a:prstGeom>
                    <a:noFill/>
                    <a:ln w="9525">
                      <a:noFill/>
                      <a:headEnd/>
                      <a:tailEnd/>
                    </a:ln>
                  </pic:spPr>
                </pic:pic>
              </a:graphicData>
            </a:graphic>
          </wp:inline>
        </w:drawing>
      </w:r>
    </w:p>
    <w:p>
      <w:pPr>
        <w:pStyle w:val="Piedefigura"/>
      </w:pPr>
      <w:r>
        <w:rPr>
          <w:b/>
          <w:bCs/>
        </w:rPr>
        <w:t xml:space="preserve">Figura 2.</w:t>
      </w:r>
      <w:r>
        <w:t xml:space="preserve"> </w:t>
      </w:r>
      <w:r>
        <w:rPr>
          <w:i/>
          <w:iCs/>
        </w:rPr>
        <w:t xml:space="preserve">Signo Escalonado frente al mapa: el cerro de Jatun-Kolla en sección y en planta</w:t>
      </w:r>
      <w:r>
        <w:t xml:space="preserve">. Esquema de encaje del pastel al óleo. Fuente: elaboración propia con asistencia de IA.</w:t>
      </w:r>
    </w:p>
    <w:bookmarkEnd w:id="20"/>
    <w:bookmarkStart w:id="21" w:name="umacachi-la-trampa-de-los-papeles"/>
    <w:p>
      <w:pPr>
        <w:pStyle w:val="Heading2"/>
      </w:pPr>
      <w:r>
        <w:t xml:space="preserve">4. Umacachi: la trampa de los papeles</w:t>
      </w:r>
    </w:p>
    <w:p>
      <w:pPr>
        <w:pStyle w:val="FirstParagraph"/>
      </w:pPr>
      <w:r>
        <w:t xml:space="preserve">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pPr>
      <w:r>
        <w:t xml:space="preserve">Allí manda el Alcalde vitalicio, el doctor Margarito Mendoza, que anda «con el fajo de expedientes bajo el brazo» y sabe «tejer obscuras mallas de términos seudo jurídicos»; los tinterillos «urden pleitos por nada» (ibid.: 86).</w:t>
      </w:r>
      <w:r>
        <w:t xml:space="preserve"> </w:t>
      </w:r>
      <w:r>
        <w:rPr>
          <w:i/>
          <w:iCs/>
        </w:rPr>
        <w:t xml:space="preserve">Urdir</w:t>
      </w:r>
      <w:r>
        <w:t xml:space="preserve"> </w:t>
      </w:r>
      <w:r>
        <w:t xml:space="preserve">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pPr>
      <w:r>
        <w:t xml:space="preserve">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pPr>
      <w:r>
        <w:t xml:space="preserve">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pPr>
      <w: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w:t>
      </w:r>
      <w:r>
        <w:t xml:space="preserve"> </w:t>
      </w:r>
      <w:r>
        <w:rPr>
          <w:i/>
          <w:iCs/>
        </w:rPr>
        <w:t xml:space="preserve">domesticar</w:t>
      </w:r>
      <w:r>
        <w:t xml:space="preserve"> </w:t>
      </w:r>
      <w:r>
        <w:t xml:space="preserve">viene de</w:t>
      </w:r>
      <w:r>
        <w:t xml:space="preserve"> </w:t>
      </w:r>
      <w:r>
        <w:rPr>
          <w:i/>
          <w:iCs/>
        </w:rPr>
        <w:t xml:space="preserve">domus</w:t>
      </w:r>
      <w:r>
        <w:t xml:space="preserve">, casa: la aldea los alojó como a animales de casa.</w:t>
      </w:r>
    </w:p>
    <w:bookmarkEnd w:id="21"/>
    <w:bookmarkStart w:id="28" w:name="el-éxodo-los-yungas-y-la-mina"/>
    <w:p>
      <w:pPr>
        <w:pStyle w:val="Heading2"/>
      </w:pPr>
      <w:r>
        <w:t xml:space="preserve">5. El éxodo: los Yungas y la mina</w:t>
      </w:r>
    </w:p>
    <w:p>
      <w:pPr>
        <w:pStyle w:val="FirstParagraph"/>
      </w:pPr>
      <w:r>
        <w:t xml:space="preserve">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w:t>
      </w:r>
    </w:p>
    <w:p>
      <w:pPr>
        <w:pStyle w:val="BodyText"/>
      </w:pPr>
      <w: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w:t>
      </w:r>
      <w:r>
        <w:t xml:space="preserve"> </w:t>
      </w:r>
      <w:r>
        <w:rPr>
          <w:i/>
          <w:iCs/>
        </w:rPr>
        <w:t xml:space="preserve">crimen</w:t>
      </w:r>
      <w:r>
        <w:t xml:space="preserve">,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pPr>
      <w:r>
        <w:rPr>
          <w:b/>
          <w:bCs/>
        </w:rPr>
        <w:t xml:space="preserve">Figura 3.</w:t>
      </w:r>
      <w:r>
        <w:rPr>
          <w:b/>
          <w:bCs/>
        </w:rPr>
        <w:t xml:space="preserve"> </w:t>
      </w:r>
      <w:r>
        <w:rPr>
          <w:b/>
          <w:bCs/>
          <w:i/>
          <w:iCs/>
        </w:rPr>
        <w:t xml:space="preserve">Umbral de la apacheta</w:t>
      </w:r>
      <w:r>
        <w:rPr>
          <w:b/>
          <w:bCs/>
        </w:rPr>
        <w:t xml:space="preserve">.</w:t>
      </w:r>
      <w:r>
        <w:t xml:space="preserve"> </w:t>
      </w:r>
      <w:r>
        <w:t xml:space="preserve">(1)</w:t>
      </w:r>
      <w:r>
        <w:t xml:space="preserve"> </w:t>
      </w:r>
      <w:r>
        <w:rPr>
          <w:i/>
          <w:iCs/>
        </w:rPr>
        <w:t xml:space="preserve">Texto</w:t>
      </w:r>
      <w: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w:t>
      </w:r>
      <w:r>
        <w:t xml:space="preserve"> </w:t>
      </w:r>
      <w:r>
        <w:rPr>
          <w:i/>
          <w:iCs/>
        </w:rPr>
        <w:t xml:space="preserve">Operación</w:t>
      </w:r>
      <w:r>
        <w:t xml:space="preserve">. Una hoja apaisada partida por la cresta. Del lado de la puna, pastel seco sobre papel de grano grueso, que asoma como piedra; del lado del yunga, pastel disuelto en capas transparentes que chorrean. En la cresta, una técnica se vuelve la otra. (3)</w:t>
      </w:r>
      <w:r>
        <w:t xml:space="preserve"> </w:t>
      </w:r>
      <w:r>
        <w:rPr>
          <w:i/>
          <w:iCs/>
        </w:rPr>
        <w:t xml:space="preserve">Contraste</w:t>
      </w:r>
      <w:r>
        <w:t xml:space="preserve">. El esquema sigue al texto y dibuja un umbral sin montón. Pero el aymara colonial llama</w:t>
      </w:r>
      <w:r>
        <w:t xml:space="preserve"> </w:t>
      </w:r>
      <w:r>
        <w:rPr>
          <w:i/>
          <w:iCs/>
        </w:rPr>
        <w:t xml:space="preserve">apachita</w:t>
      </w:r>
      <w:r>
        <w:t xml:space="preserve"> </w:t>
      </w:r>
      <w:r>
        <w:t xml:space="preserve">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w:t>
      </w:r>
      <w:r>
        <w:t xml:space="preserve"> </w:t>
      </w:r>
      <w:r>
        <w:rPr>
          <w:i/>
          <w:iCs/>
        </w:rPr>
        <w:t xml:space="preserve">wank’a</w:t>
      </w:r>
      <w:r>
        <w:t xml:space="preserve"> </w:t>
      </w:r>
      <w:r>
        <w:t xml:space="preserve">fuera de su lugar. Y lo único que cruza el abismo es colectivo y está hecho de manos, como la apacheta que falta.</w:t>
      </w:r>
    </w:p>
    <w:p>
      <w:pPr>
        <w:pStyle w:val="Figura"/>
      </w:pPr>
      <w:r>
        <w:drawing>
          <wp:inline>
            <wp:extent cx="5039999" cy="2826782"/>
            <wp:effectExtent b="0" l="0" r="0" t="0"/>
            <wp:docPr descr="" title="" id="23" name="Picture"/>
            <a:graphic>
              <a:graphicData uri="http://schemas.openxmlformats.org/drawingml/2006/picture">
                <pic:pic>
                  <pic:nvPicPr>
                    <pic:cNvPr descr="figuras/figura_3.png" id="24" name="Picture"/>
                    <pic:cNvPicPr>
                      <a:picLocks noChangeArrowheads="1" noChangeAspect="1"/>
                    </pic:cNvPicPr>
                  </pic:nvPicPr>
                  <pic:blipFill>
                    <a:blip r:embed="rId22"/>
                    <a:stretch>
                      <a:fillRect/>
                    </a:stretch>
                  </pic:blipFill>
                  <pic:spPr bwMode="auto">
                    <a:xfrm>
                      <a:off x="0" y="0"/>
                      <a:ext cx="5039999" cy="2826782"/>
                    </a:xfrm>
                    <a:prstGeom prst="rect">
                      <a:avLst/>
                    </a:prstGeom>
                    <a:noFill/>
                    <a:ln w="9525">
                      <a:noFill/>
                      <a:headEnd/>
                      <a:tailEnd/>
                    </a:ln>
                  </pic:spPr>
                </pic:pic>
              </a:graphicData>
            </a:graphic>
          </wp:inline>
        </w:drawing>
      </w:r>
    </w:p>
    <w:p>
      <w:pPr>
        <w:pStyle w:val="Piedefigura"/>
      </w:pPr>
      <w:r>
        <w:rPr>
          <w:b/>
          <w:bCs/>
        </w:rPr>
        <w:t xml:space="preserve">Figura 3.</w:t>
      </w:r>
      <w:r>
        <w:t xml:space="preserve"> </w:t>
      </w:r>
      <w:r>
        <w:rPr>
          <w:i/>
          <w:iCs/>
        </w:rPr>
        <w:t xml:space="preserve">Umbral de la apacheta: la ceja de la cordillera y la fauce del yunga</w:t>
      </w:r>
      <w:r>
        <w:t xml:space="preserve">. Esquema de encaje del pastel al óleo. Fuente: elaboración propia con asistencia de IA.</w:t>
      </w:r>
    </w:p>
    <w:p>
      <w:pPr>
        <w:pStyle w:val="BodyText"/>
      </w:pPr>
      <w:r>
        <w:t xml:space="preserve">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pPr>
      <w:r>
        <w:t xml:space="preserve">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pPr>
      <w:r>
        <w:rPr>
          <w:b/>
          <w:bCs/>
        </w:rPr>
        <w:t xml:space="preserve">Figura 4.</w:t>
      </w:r>
      <w:r>
        <w:rPr>
          <w:b/>
          <w:bCs/>
        </w:rPr>
        <w:t xml:space="preserve"> </w:t>
      </w:r>
      <w:r>
        <w:rPr>
          <w:b/>
          <w:bCs/>
          <w:i/>
          <w:iCs/>
        </w:rPr>
        <w:t xml:space="preserve">El castillete y la caída al plano 450</w:t>
      </w:r>
      <w:r>
        <w:rPr>
          <w:b/>
          <w:bCs/>
        </w:rPr>
        <w:t xml:space="preserve">.</w:t>
      </w:r>
      <w:r>
        <w:t xml:space="preserve"> </w:t>
      </w:r>
      <w:r>
        <w:t xml:space="preserve">(1)</w:t>
      </w:r>
      <w:r>
        <w:t xml:space="preserve"> </w:t>
      </w:r>
      <w:r>
        <w:rPr>
          <w:i/>
          <w:iCs/>
        </w:rPr>
        <w:t xml:space="preserve">Texto</w:t>
      </w:r>
      <w:r>
        <w:t xml:space="preserve">. Torre, campamento escalonado, nichos, jaula, galería inundada, derrumbe (Botelho Gosálvez, 1982 [1945]: 134-154). (2)</w:t>
      </w:r>
      <w:r>
        <w:t xml:space="preserve"> </w:t>
      </w:r>
      <w:r>
        <w:rPr>
          <w:i/>
          <w:iCs/>
        </w:rPr>
        <w:t xml:space="preserve">Operación</w:t>
      </w:r>
      <w: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w:t>
      </w:r>
      <w:r>
        <w:t xml:space="preserve"> </w:t>
      </w:r>
      <w:r>
        <w:rPr>
          <w:i/>
          <w:iCs/>
        </w:rPr>
        <w:t xml:space="preserve">Contraste</w:t>
      </w:r>
      <w:r>
        <w:t xml:space="preserve">.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pPr>
      <w:r>
        <w:drawing>
          <wp:inline>
            <wp:extent cx="3241558" cy="4679999"/>
            <wp:effectExtent b="0" l="0" r="0" t="0"/>
            <wp:docPr descr="" title="" id="26" name="Picture"/>
            <a:graphic>
              <a:graphicData uri="http://schemas.openxmlformats.org/drawingml/2006/picture">
                <pic:pic>
                  <pic:nvPicPr>
                    <pic:cNvPr descr="figuras/figura_4.png" id="27" name="Picture"/>
                    <pic:cNvPicPr>
                      <a:picLocks noChangeArrowheads="1" noChangeAspect="1"/>
                    </pic:cNvPicPr>
                  </pic:nvPicPr>
                  <pic:blipFill>
                    <a:blip r:embed="rId25"/>
                    <a:stretch>
                      <a:fillRect/>
                    </a:stretch>
                  </pic:blipFill>
                  <pic:spPr bwMode="auto">
                    <a:xfrm>
                      <a:off x="0" y="0"/>
                      <a:ext cx="3241558" cy="4679999"/>
                    </a:xfrm>
                    <a:prstGeom prst="rect">
                      <a:avLst/>
                    </a:prstGeom>
                    <a:noFill/>
                    <a:ln w="9525">
                      <a:noFill/>
                      <a:headEnd/>
                      <a:tailEnd/>
                    </a:ln>
                  </pic:spPr>
                </pic:pic>
              </a:graphicData>
            </a:graphic>
          </wp:inline>
        </w:drawing>
      </w:r>
    </w:p>
    <w:p>
      <w:pPr>
        <w:pStyle w:val="Piedefigura"/>
      </w:pPr>
      <w:r>
        <w:rPr>
          <w:b/>
          <w:bCs/>
        </w:rPr>
        <w:t xml:space="preserve">Figura 4.</w:t>
      </w:r>
      <w:r>
        <w:t xml:space="preserve"> </w:t>
      </w:r>
      <w:r>
        <w:rPr>
          <w:i/>
          <w:iCs/>
        </w:rPr>
        <w:t xml:space="preserve">El castillete y la caída al plano 450</w:t>
      </w:r>
      <w:r>
        <w:t xml:space="preserve">. Esquema de encaje del pastel al óleo. Fuente: elaboración propia con asistencia de IA.</w:t>
      </w:r>
    </w:p>
    <w:bookmarkEnd w:id="28"/>
    <w:bookmarkStart w:id="35" w:name="X708018351417205dc0884bafc6e4107def1df7f"/>
    <w:p>
      <w:pPr>
        <w:pStyle w:val="Heading2"/>
      </w:pPr>
      <w:r>
        <w:t xml:space="preserve">6. La sequía y el linchamiento: el cuerpo en la catástrofe</w:t>
      </w:r>
    </w:p>
    <w:p>
      <w:pPr>
        <w:pStyle w:val="FirstParagraph"/>
      </w:pPr>
      <w:r>
        <w:t xml:space="preserve">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Al salir del ayllu, las casas ajenas se les cierran: a los vecinos, la sequía «les endureció el alma como había endurecido la tierra», y los reciben «dándoles con las puertas» y a pedradas (ibid.: 80).</w:t>
      </w:r>
    </w:p>
    <w:p>
      <w:pPr>
        <w:pStyle w:val="BodyText"/>
      </w:pPr>
      <w: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w:t>
      </w:r>
      <w:r>
        <w:t xml:space="preserve"> </w:t>
      </w:r>
      <w:r>
        <w:rPr>
          <w:i/>
          <w:iCs/>
        </w:rPr>
        <w:t xml:space="preserve">Crucifixión</w:t>
      </w:r>
      <w:r>
        <w:t xml:space="preserve"> </w:t>
      </w:r>
      <w:r>
        <w:t xml:space="preserve">(1965), dos jueces examinan «las manipulaciones de la carne» (Martin, 2014: 85), como la comunidad y el lector ante el cuerpo de Basilio. La otra pasa por la</w:t>
      </w:r>
      <w:r>
        <w:t xml:space="preserve"> </w:t>
      </w:r>
      <w:r>
        <w:rPr>
          <w:i/>
          <w:iCs/>
        </w:rPr>
        <w:t xml:space="preserve">kenchería</w:t>
      </w:r>
      <w:r>
        <w:t xml:space="preserve">,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pPr>
      <w:r>
        <w:rPr>
          <w:b/>
          <w:bCs/>
        </w:rPr>
        <w:t xml:space="preserve">Figura 5.</w:t>
      </w:r>
      <w:r>
        <w:rPr>
          <w:b/>
          <w:bCs/>
        </w:rPr>
        <w:t xml:space="preserve"> </w:t>
      </w:r>
      <w:r>
        <w:rPr>
          <w:b/>
          <w:bCs/>
          <w:i/>
          <w:iCs/>
        </w:rPr>
        <w:t xml:space="preserve">Pelvis telúrica / Pachamama sorda</w:t>
      </w:r>
      <w:r>
        <w:rPr>
          <w:b/>
          <w:bCs/>
        </w:rPr>
        <w:t xml:space="preserve">.</w:t>
      </w:r>
      <w:r>
        <w:t xml:space="preserve"> </w:t>
      </w:r>
      <w:r>
        <w:t xml:space="preserve">(1)</w:t>
      </w:r>
      <w:r>
        <w:t xml:space="preserve"> </w:t>
      </w:r>
      <w:r>
        <w:rPr>
          <w:i/>
          <w:iCs/>
        </w:rPr>
        <w:t xml:space="preserve">Texto</w:t>
      </w:r>
      <w:r>
        <w:t xml:space="preserve">. «La Pacha Mama, sorda, vieja, extenuada, recibía el cuerpo de sus más fieles hijos para encerrarlos en su vientre de sequedad inexorable» (ibid.: 66); las vacas hambrientas muestran «las nalgas abiertas a la manera de una luna menguante» (ibid.: 64). (2)</w:t>
      </w:r>
      <w:r>
        <w:t xml:space="preserve"> </w:t>
      </w:r>
      <w:r>
        <w:rPr>
          <w:i/>
          <w:iCs/>
        </w:rPr>
        <w:t xml:space="preserve">Operación</w:t>
      </w:r>
      <w:r>
        <w:t xml:space="preserve">. El cielo se deja en papel desnudo: la sequía como falta de pincelada. La cuenca seca de las vertientes (ibid.: 58) se dibuja como una pelvis, la cadera del ganado vuelta luna menguante, en blanco hueso sobre tierra de sombra, agrietada a punta de raspado. (3)</w:t>
      </w:r>
      <w:r>
        <w:t xml:space="preserve"> </w:t>
      </w:r>
      <w:r>
        <w:rPr>
          <w:i/>
          <w:iCs/>
        </w:rPr>
        <w:t xml:space="preserve">Contraste</w:t>
      </w:r>
      <w:r>
        <w:t xml:space="preserve">. Que la tierra sea madre no lo inventa el narrador: para Bertonio,</w:t>
      </w:r>
      <w:r>
        <w:t xml:space="preserve"> </w:t>
      </w:r>
      <w:r>
        <w:rPr>
          <w:i/>
          <w:iCs/>
        </w:rPr>
        <w:t xml:space="preserve">Pachamama</w:t>
      </w:r>
      <w:r>
        <w:t xml:space="preserve"> </w:t>
      </w:r>
      <w:r>
        <w:t xml:space="preserve">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w:t>
      </w:r>
      <w:r>
        <w:t xml:space="preserve"> </w:t>
      </w:r>
      <w:r>
        <w:rPr>
          <w:i/>
          <w:iCs/>
        </w:rPr>
        <w:t xml:space="preserve">hystéra</w:t>
      </w:r>
      <w:r>
        <w:t xml:space="preserve">,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pPr>
      <w:r>
        <w:drawing>
          <wp:inline>
            <wp:extent cx="5039999" cy="2741869"/>
            <wp:effectExtent b="0" l="0" r="0" t="0"/>
            <wp:docPr descr="" title="" id="30" name="Picture"/>
            <a:graphic>
              <a:graphicData uri="http://schemas.openxmlformats.org/drawingml/2006/picture">
                <pic:pic>
                  <pic:nvPicPr>
                    <pic:cNvPr descr="figuras/figura_5.png" id="31" name="Picture"/>
                    <pic:cNvPicPr>
                      <a:picLocks noChangeArrowheads="1" noChangeAspect="1"/>
                    </pic:cNvPicPr>
                  </pic:nvPicPr>
                  <pic:blipFill>
                    <a:blip r:embed="rId29"/>
                    <a:stretch>
                      <a:fillRect/>
                    </a:stretch>
                  </pic:blipFill>
                  <pic:spPr bwMode="auto">
                    <a:xfrm>
                      <a:off x="0" y="0"/>
                      <a:ext cx="5039999" cy="2741869"/>
                    </a:xfrm>
                    <a:prstGeom prst="rect">
                      <a:avLst/>
                    </a:prstGeom>
                    <a:noFill/>
                    <a:ln w="9525">
                      <a:noFill/>
                      <a:headEnd/>
                      <a:tailEnd/>
                    </a:ln>
                  </pic:spPr>
                </pic:pic>
              </a:graphicData>
            </a:graphic>
          </wp:inline>
        </w:drawing>
      </w:r>
    </w:p>
    <w:p>
      <w:pPr>
        <w:pStyle w:val="Piedefigura"/>
      </w:pPr>
      <w:r>
        <w:rPr>
          <w:b/>
          <w:bCs/>
        </w:rPr>
        <w:t xml:space="preserve">Figura 5.</w:t>
      </w:r>
      <w:r>
        <w:t xml:space="preserve"> </w:t>
      </w:r>
      <w:r>
        <w:rPr>
          <w:i/>
          <w:iCs/>
        </w:rPr>
        <w:t xml:space="preserve">Pelvis telúrica / Pachamama sorda</w:t>
      </w:r>
      <w:r>
        <w:t xml:space="preserve">. Esquema de encaje del pastel al óleo. Fuente: elaboración propia con asistencia de IA.</w:t>
      </w:r>
    </w:p>
    <w:p>
      <w:pPr>
        <w:pStyle w:val="BodyText"/>
      </w:pPr>
      <w:r>
        <w:rPr>
          <w:b/>
          <w:bCs/>
        </w:rPr>
        <w:t xml:space="preserve">Figura 6.</w:t>
      </w:r>
      <w:r>
        <w:rPr>
          <w:b/>
          <w:bCs/>
        </w:rPr>
        <w:t xml:space="preserve"> </w:t>
      </w:r>
      <w:r>
        <w:rPr>
          <w:b/>
          <w:bCs/>
          <w:i/>
          <w:iCs/>
        </w:rPr>
        <w:t xml:space="preserve">El centinela de la resistencia</w:t>
      </w:r>
      <w:r>
        <w:rPr>
          <w:b/>
          <w:bCs/>
        </w:rPr>
        <w:t xml:space="preserve">.</w:t>
      </w:r>
      <w:r>
        <w:t xml:space="preserve"> </w:t>
      </w:r>
      <w:r>
        <w:t xml:space="preserve">(1)</w:t>
      </w:r>
      <w:r>
        <w:t xml:space="preserve"> </w:t>
      </w:r>
      <w:r>
        <w:rPr>
          <w:i/>
          <w:iCs/>
        </w:rPr>
        <w:t xml:space="preserve">Texto</w:t>
      </w:r>
      <w: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w:t>
      </w:r>
      <w:r>
        <w:t xml:space="preserve"> </w:t>
      </w:r>
      <w:r>
        <w:rPr>
          <w:i/>
          <w:iCs/>
        </w:rPr>
        <w:t xml:space="preserve">Operación</w:t>
      </w:r>
      <w: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w:t>
      </w:r>
      <w:r>
        <w:t xml:space="preserve"> </w:t>
      </w:r>
      <w:r>
        <w:rPr>
          <w:i/>
          <w:iCs/>
        </w:rPr>
        <w:t xml:space="preserve">Contraste</w:t>
      </w:r>
      <w:r>
        <w:t xml:space="preserve">. El narrador llama a los vigías «cancerberos» y «muertos en vida» (ibid.), pero también «celadores y enfermeros» (ibid.: 79). El esquema los traza como mojones, una decisión que el aymara respalda y el texto no.</w:t>
      </w:r>
      <w:r>
        <w:t xml:space="preserve"> </w:t>
      </w:r>
      <w:r>
        <w:rPr>
          <w:i/>
          <w:iCs/>
        </w:rPr>
        <w:t xml:space="preserve">Achachi</w:t>
      </w:r>
      <w:r>
        <w:t xml:space="preserve">, que el glosario traduce por «anciano» (ibid.: 160), es también «la cepa de una casa o familia» y el «término o mojón de las tierras» (Bertonio, 2011 [1612]: 307). Y</w:t>
      </w:r>
      <w:r>
        <w:t xml:space="preserve"> </w:t>
      </w:r>
      <w:r>
        <w:rPr>
          <w:i/>
          <w:iCs/>
        </w:rPr>
        <w:t xml:space="preserve">saywa</w:t>
      </w:r>
      <w:r>
        <w:t xml:space="preserve">,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pPr>
      <w:r>
        <w:drawing>
          <wp:inline>
            <wp:extent cx="3844929" cy="4679999"/>
            <wp:effectExtent b="0" l="0" r="0" t="0"/>
            <wp:docPr descr="" title="" id="33" name="Picture"/>
            <a:graphic>
              <a:graphicData uri="http://schemas.openxmlformats.org/drawingml/2006/picture">
                <pic:pic>
                  <pic:nvPicPr>
                    <pic:cNvPr descr="figuras/figura_6.png" id="34" name="Picture"/>
                    <pic:cNvPicPr>
                      <a:picLocks noChangeArrowheads="1" noChangeAspect="1"/>
                    </pic:cNvPicPr>
                  </pic:nvPicPr>
                  <pic:blipFill>
                    <a:blip r:embed="rId32"/>
                    <a:stretch>
                      <a:fillRect/>
                    </a:stretch>
                  </pic:blipFill>
                  <pic:spPr bwMode="auto">
                    <a:xfrm>
                      <a:off x="0" y="0"/>
                      <a:ext cx="3844929" cy="4679999"/>
                    </a:xfrm>
                    <a:prstGeom prst="rect">
                      <a:avLst/>
                    </a:prstGeom>
                    <a:noFill/>
                    <a:ln w="9525">
                      <a:noFill/>
                      <a:headEnd/>
                      <a:tailEnd/>
                    </a:ln>
                  </pic:spPr>
                </pic:pic>
              </a:graphicData>
            </a:graphic>
          </wp:inline>
        </w:drawing>
      </w:r>
    </w:p>
    <w:p>
      <w:pPr>
        <w:pStyle w:val="Piedefigura"/>
      </w:pPr>
      <w:r>
        <w:rPr>
          <w:b/>
          <w:bCs/>
        </w:rPr>
        <w:t xml:space="preserve">Figura 6.</w:t>
      </w:r>
      <w:r>
        <w:t xml:space="preserve"> </w:t>
      </w:r>
      <w:r>
        <w:rPr>
          <w:i/>
          <w:iCs/>
        </w:rPr>
        <w:t xml:space="preserve">El centinela de la resistencia: los tres vigías del ayllu vacío</w:t>
      </w:r>
      <w:r>
        <w:t xml:space="preserve">. Esquema de encaje del pastel al óleo. Fuente: elaboración propia con asistencia de IA.</w:t>
      </w:r>
    </w:p>
    <w:bookmarkEnd w:id="35"/>
    <w:bookmarkStart w:id="39" w:name="Xd33dadc6dc41c4f190a3160c8a87a45b956b4eb"/>
    <w:p>
      <w:pPr>
        <w:pStyle w:val="Heading2"/>
      </w:pPr>
      <w:r>
        <w:t xml:space="preserve">7. El retorno: reparar la casa, elegir la memoria</w:t>
      </w:r>
    </w:p>
    <w:p>
      <w:pPr>
        <w:pStyle w:val="FirstParagraph"/>
      </w:pPr>
      <w:r>
        <w:t xml:space="preserve">Con las heladas vuelven los sobrevivientes: «en el dintel de Jatun-Kolla se detenían para ponerse de rodillas y besar el suelo que habían abandonado en el terror» (Botelho Gosálvez, 1982 [1945]: 155). El ayllu tiene dintel: es una casa. Han muerto más de ciento cincuenta comunarios (ibid.: 156). Reparar es un trabajo de manos y de piedra: «Las chujllas fueron reparadas del estrago, las pircas de piedra que separan las parcelas fueron compuestas» (ibid.).</w:t>
      </w:r>
      <w:r>
        <w:t xml:space="preserve"> </w:t>
      </w:r>
      <w:r>
        <w:rPr>
          <w:i/>
          <w:iCs/>
        </w:rPr>
        <w:t xml:space="preserve">Compuestas</w:t>
      </w:r>
      <w:r>
        <w:t xml:space="preserve">: la palabra que los tratados de arquitectura reservaban al arquitecto vuelve aquí como faena comunal. Recomponer la pirca es volver a amojonar, lo que el aymara llama</w:t>
      </w:r>
      <w:r>
        <w:t xml:space="preserve"> </w:t>
      </w:r>
      <w:r>
        <w:rPr>
          <w:i/>
          <w:iCs/>
        </w:rPr>
        <w:t xml:space="preserve">saywaña</w:t>
      </w:r>
      <w: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w:t>
      </w:r>
      <w:r>
        <w:t xml:space="preserve"> </w:t>
      </w:r>
      <w:r>
        <w:rPr>
          <w:i/>
          <w:iCs/>
        </w:rPr>
        <w:t xml:space="preserve">wank’a</w:t>
      </w:r>
      <w:r>
        <w:t xml:space="preserve"> </w:t>
      </w:r>
      <w:r>
        <w:t xml:space="preserve">con dueño y con lugar.</w:t>
      </w:r>
    </w:p>
    <w:p>
      <w:pPr>
        <w:pStyle w:val="BodyText"/>
      </w:pPr>
      <w:r>
        <w:t xml:space="preserve">La memoria se construye igual que la casa. Cada uno guarda sus padecimientos «con el mismo pudor de los ex carcelados», y la memoria «no recordaba sino lo pasado antiguo, lo bueno y lo alegre de las cosechas» (ibid.):</w:t>
      </w:r>
    </w:p>
    <w:p>
      <w:pPr>
        <w:pStyle w:val="BlockText"/>
      </w:pPr>
      <w:r>
        <w:t xml:space="preserve">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pPr>
      <w:r>
        <w:t xml:space="preserve">Muralla, foso, atalaya: recordar es construir, y olvidar también (Figura 7). Es lo contrario del lema del epígrafe: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El Signo Escalonado se rehace sin su último escalón. Una pirca de doble cara enseña lo que esa memoria olvida: las piedras grandes dan la cara, pero adentro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 (ibid.: 159). Endurecerse para no sufrir la pérdida tiene nombre en aymara:</w:t>
      </w:r>
      <w:r>
        <w:t xml:space="preserve"> </w:t>
      </w:r>
      <w:r>
        <w:rPr>
          <w:i/>
          <w:iCs/>
        </w:rPr>
        <w:t xml:space="preserve">qalachuyma</w:t>
      </w:r>
      <w:r>
        <w:t xml:space="preserve">, «corazón de piedra»; en un relato de Spedding, para volverse así «hay que lamer el batán de moler» (Spedding, 2025: XV). Contra el susto, la piedra se usa al revés: se come el bezoar del yatiri, en aymara</w:t>
      </w:r>
      <w:r>
        <w:t xml:space="preserve"> </w:t>
      </w:r>
      <w:r>
        <w:rPr>
          <w:i/>
          <w:iCs/>
        </w:rPr>
        <w:t xml:space="preserve">jayintilla</w:t>
      </w:r>
      <w:r>
        <w:t xml:space="preserve"> </w:t>
      </w:r>
      <w:r>
        <w:t xml:space="preserve">(Bertonio, 2011 [1612]: 361), o la tierra del lugar del miedo, para «retornar al territorio y a la memoria» (Rodríguez y Rodríguez, 2025: 55). Los comunarios besan el suelo, pero no vuelven a la memoria. La paz se paga con ese olvido.</w:t>
      </w:r>
    </w:p>
    <w:p>
      <w:pPr>
        <w:pStyle w:val="Figura"/>
      </w:pPr>
      <w:r>
        <w:drawing>
          <wp:inline>
            <wp:extent cx="5039999" cy="3239999"/>
            <wp:effectExtent b="0" l="0" r="0" t="0"/>
            <wp:docPr descr="" title="" id="37" name="Picture"/>
            <a:graphic>
              <a:graphicData uri="http://schemas.openxmlformats.org/drawingml/2006/picture">
                <pic:pic>
                  <pic:nvPicPr>
                    <pic:cNvPr descr="figuras/figura_7.png" id="38" name="Picture"/>
                    <pic:cNvPicPr>
                      <a:picLocks noChangeArrowheads="1" noChangeAspect="1"/>
                    </pic:cNvPicPr>
                  </pic:nvPicPr>
                  <pic:blipFill>
                    <a:blip r:embed="rId36"/>
                    <a:stretch>
                      <a:fillRect/>
                    </a:stretch>
                  </pic:blipFill>
                  <pic:spPr bwMode="auto">
                    <a:xfrm>
                      <a:off x="0" y="0"/>
                      <a:ext cx="5039999" cy="3239999"/>
                    </a:xfrm>
                    <a:prstGeom prst="rect">
                      <a:avLst/>
                    </a:prstGeom>
                    <a:noFill/>
                    <a:ln w="9525">
                      <a:noFill/>
                      <a:headEnd/>
                      <a:tailEnd/>
                    </a:ln>
                  </pic:spPr>
                </pic:pic>
              </a:graphicData>
            </a:graphic>
          </wp:inline>
        </w:drawing>
      </w:r>
    </w:p>
    <w:p>
      <w:pPr>
        <w:pStyle w:val="Piedefigura"/>
      </w:pPr>
      <w:r>
        <w:rPr>
          <w:b/>
          <w:bCs/>
        </w:rPr>
        <w:t xml:space="preserve">Figura 7.</w:t>
      </w:r>
      <w:r>
        <w:t xml:space="preserve"> </w:t>
      </w:r>
      <w:r>
        <w:rPr>
          <w:i/>
          <w:iCs/>
        </w:rPr>
        <w:t xml:space="preserve">La memoria del retorno</w:t>
      </w:r>
      <w:r>
        <w:t xml:space="preserve">. Diagrama. Fuente: elaboración propia con asistencia de IA.</w:t>
      </w:r>
    </w:p>
    <w:p>
      <w:pPr>
        <w:pStyle w:val="BodyText"/>
      </w:pPr>
      <w:r>
        <w:t xml:space="preserve">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p>
    <w:bookmarkEnd w:id="39"/>
    <w:bookmarkStart w:id="43" w:name="X6513926464102a35f22aafc801b0596a5c3805e"/>
    <w:p>
      <w:pPr>
        <w:pStyle w:val="Heading2"/>
      </w:pPr>
      <w:r>
        <w:t xml:space="preserve">8. Conclusiones: lo que muestra el dibujo y sus límites</w:t>
      </w:r>
    </w:p>
    <w:p>
      <w:pPr>
        <w:pStyle w:val="FirstParagraph"/>
      </w:pPr>
      <w:r>
        <w:t xml:space="preserve">La lectura permite sostener cuatro hallazgos. Primero: el montón de piedras es la arquitectura mínima de la novela, masa sin edificio, y la cosecha de estaño que promete el capataz (Botelho Gosálvez, 1982 [1945]: 142) es la captura de ese gesto por la máquina (Figura 8).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pPr>
      <w:r>
        <w:drawing>
          <wp:inline>
            <wp:extent cx="4338227" cy="6119999"/>
            <wp:effectExtent b="0" l="0" r="0" t="0"/>
            <wp:docPr descr="" title="" id="41" name="Picture"/>
            <a:graphic>
              <a:graphicData uri="http://schemas.openxmlformats.org/drawingml/2006/picture">
                <pic:pic>
                  <pic:nvPicPr>
                    <pic:cNvPr descr="figuras/figura_8.png" id="42" name="Picture"/>
                    <pic:cNvPicPr>
                      <a:picLocks noChangeArrowheads="1" noChangeAspect="1"/>
                    </pic:cNvPicPr>
                  </pic:nvPicPr>
                  <pic:blipFill>
                    <a:blip r:embed="rId40"/>
                    <a:stretch>
                      <a:fillRect/>
                    </a:stretch>
                  </pic:blipFill>
                  <pic:spPr bwMode="auto">
                    <a:xfrm>
                      <a:off x="0" y="0"/>
                      <a:ext cx="4338227" cy="6119999"/>
                    </a:xfrm>
                    <a:prstGeom prst="rect">
                      <a:avLst/>
                    </a:prstGeom>
                    <a:noFill/>
                    <a:ln w="9525">
                      <a:noFill/>
                      <a:headEnd/>
                      <a:tailEnd/>
                    </a:ln>
                  </pic:spPr>
                </pic:pic>
              </a:graphicData>
            </a:graphic>
          </wp:inline>
        </w:drawing>
      </w:r>
    </w:p>
    <w:p>
      <w:pPr>
        <w:pStyle w:val="Piedefigura"/>
      </w:pPr>
      <w:r>
        <w:rPr>
          <w:b/>
          <w:bCs/>
        </w:rPr>
        <w:t xml:space="preserve">Figura 8.</w:t>
      </w:r>
      <w:r>
        <w:t xml:space="preserve"> </w:t>
      </w:r>
      <w:r>
        <w:rPr>
          <w:i/>
          <w:iCs/>
        </w:rPr>
        <w:t xml:space="preserve">Tres montones</w:t>
      </w:r>
      <w:r>
        <w:t xml:space="preserve">. Diagrama. Fuente: elaboración propia con asistencia de IA.</w:t>
      </w:r>
    </w:p>
    <w:p>
      <w:pPr>
        <w:pStyle w:val="BodyText"/>
      </w:pPr>
      <w:r>
        <w:t xml:space="preserve">¿Qué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pPr>
      <w:r>
        <w:t xml:space="preserve">El trabajo tiene tres límites. El primero es el que advertía Hall: el corte, el</w:t>
      </w:r>
      <w:r>
        <w:t xml:space="preserve"> </w:t>
      </w:r>
      <w:r>
        <w:rPr>
          <w:i/>
          <w:iCs/>
        </w:rPr>
        <w:t xml:space="preserve">capriccio</w:t>
      </w:r>
      <w:r>
        <w:t xml:space="preserve">,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pPr>
      <w: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w:t>
      </w:r>
      <w:r>
        <w:t xml:space="preserve"> </w:t>
      </w:r>
      <w:r>
        <w:rPr>
          <w:i/>
          <w:iCs/>
        </w:rPr>
        <w:t xml:space="preserve">Altiplano</w:t>
      </w:r>
      <w:r>
        <w:t xml:space="preserve"> </w:t>
      </w:r>
      <w:r>
        <w:t xml:space="preserve">con la mano es, quizá, volver a amontonarlas para ver qué queda debajo.</w:t>
      </w:r>
    </w:p>
    <w:bookmarkEnd w:id="43"/>
    <w:bookmarkStart w:id="44" w:name="declaraciones-finales"/>
    <w:p>
      <w:pPr>
        <w:pStyle w:val="Heading2"/>
      </w:pPr>
      <w:r>
        <w:t xml:space="preserve">Declaraciones finales</w:t>
      </w:r>
    </w:p>
    <w:p>
      <w:pPr>
        <w:pStyle w:val="FirstParagraph"/>
      </w:pPr>
      <w:r>
        <w:rPr>
          <w:b/>
          <w:bCs/>
        </w:rPr>
        <w:t xml:space="preserve">Conflicto de intereses.</w:t>
      </w:r>
      <w:r>
        <w:t xml:space="preserve"> </w:t>
      </w:r>
      <w:r>
        <w:t xml:space="preserve">El autor declara no tener conflictos de intereses.</w:t>
      </w:r>
    </w:p>
    <w:p>
      <w:pPr>
        <w:pStyle w:val="BodyText"/>
      </w:pPr>
      <w:r>
        <w:rPr>
          <w:b/>
          <w:bCs/>
        </w:rPr>
        <w:t xml:space="preserve">Declaración de uso de inteligencia artificial.</w:t>
      </w:r>
      <w:r>
        <w:t xml:space="preserve"> </w:t>
      </w:r>
      <w:r>
        <w:t xml:space="preserve">a)</w:t>
      </w:r>
      <w:r>
        <w:t xml:space="preserve"> </w:t>
      </w:r>
      <w:r>
        <w:rPr>
          <w:i/>
          <w:iCs/>
        </w:rPr>
        <w:t xml:space="preserve">Herramientas</w:t>
      </w:r>
      <w:r>
        <w:t xml:space="preserve">: Claude (Anthropic) y ChatGPT (OpenAI), asistentes de IA generativa. b)</w:t>
      </w:r>
      <w:r>
        <w:t xml:space="preserve"> </w:t>
      </w:r>
      <w:r>
        <w:rPr>
          <w:i/>
          <w:iCs/>
        </w:rPr>
        <w:t xml:space="preserve">Alcance</w:t>
      </w:r>
      <w: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(figuras 1-6) y el diseño y trazado de los diagramas (figuras 7 y 8). c)</w:t>
      </w:r>
      <w:r>
        <w:t xml:space="preserve"> </w:t>
      </w:r>
      <w:r>
        <w:rPr>
          <w:i/>
          <w:iCs/>
        </w:rPr>
        <w:t xml:space="preserve">Rol</w:t>
      </w:r>
      <w:r>
        <w:t xml:space="preserve">: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p>
    <w:bookmarkEnd w:id="44"/>
    <w:bookmarkStart w:id="45" w:name="bibliografía"/>
    <w:p>
      <w:pPr>
        <w:pStyle w:val="Heading2"/>
      </w:pPr>
      <w:r>
        <w:t xml:space="preserve">Bibliografía</w:t>
      </w:r>
    </w:p>
    <w:p>
      <w:pPr>
        <w:pStyle w:val="FirstParagraph"/>
      </w:pPr>
      <w:r>
        <w:t xml:space="preserve">Bachelard, Gaston (1978 [1942]).</w:t>
      </w:r>
      <w:r>
        <w:t xml:space="preserve"> </w:t>
      </w:r>
      <w:r>
        <w:rPr>
          <w:i/>
          <w:iCs/>
        </w:rPr>
        <w:t xml:space="preserve">El agua y los sueños. Ensayo sobre la imaginación de la materia</w:t>
      </w:r>
      <w:r>
        <w:t xml:space="preserve">. México: Fondo de Cultura Económica.</w:t>
      </w:r>
    </w:p>
    <w:p>
      <w:pPr>
        <w:pStyle w:val="BodyText"/>
      </w:pPr>
      <w:r>
        <w:t xml:space="preserve">Barnadas, Josep M. (1978 [1975]).</w:t>
      </w:r>
      <w:r>
        <w:t xml:space="preserve"> </w:t>
      </w:r>
      <w:r>
        <w:rPr>
          <w:i/>
          <w:iCs/>
        </w:rPr>
        <w:t xml:space="preserve">Apuntes para una historia aymara</w:t>
      </w:r>
      <w:r>
        <w:t xml:space="preserve">. 2.ª ed. La Paz: CIPCA (Cuadernos de Investigación, 6).</w:t>
      </w:r>
    </w:p>
    <w:p>
      <w:pPr>
        <w:pStyle w:val="BodyText"/>
      </w:pPr>
      <w:r>
        <w:t xml:space="preserve">Bertonio, Ludovico (2011 [1612]).</w:t>
      </w:r>
      <w:r>
        <w:t xml:space="preserve"> </w:t>
      </w:r>
      <w:r>
        <w:rPr>
          <w:i/>
          <w:iCs/>
        </w:rPr>
        <w:t xml:space="preserve">Transcripción del vocabulario de la lengua aymara</w:t>
      </w:r>
      <w:r>
        <w:t xml:space="preserve">. La Paz: Radio San Gabriel (1993) e ILLA-A (ed. digital).</w:t>
      </w:r>
    </w:p>
    <w:p>
      <w:pPr>
        <w:pStyle w:val="BodyText"/>
      </w:pPr>
      <w:r>
        <w:t xml:space="preserve">Botelho Gosálvez, Raúl (1982 [1945]).</w:t>
      </w:r>
      <w:r>
        <w:t xml:space="preserve"> </w:t>
      </w:r>
      <w:r>
        <w:rPr>
          <w:i/>
          <w:iCs/>
        </w:rPr>
        <w:t xml:space="preserve">Altiplano</w:t>
      </w:r>
      <w:r>
        <w:t xml:space="preserve">. 7.ª ed. La Paz: Librería Editorial Juventud.</w:t>
      </w:r>
    </w:p>
    <w:p>
      <w:pPr>
        <w:pStyle w:val="BodyText"/>
      </w:pPr>
      <w:r>
        <w:t xml:space="preserve">Cárcamo Pino, Mauricio Arnoldo (2019).</w:t>
      </w:r>
      <w:r>
        <w:t xml:space="preserve"> </w:t>
      </w:r>
      <w:r>
        <w:t xml:space="preserve">“Thinking and Intelligence in the Architectural Design. A Review from Language, Graphuage and Manuage”</w:t>
      </w:r>
      <w:r>
        <w:t xml:space="preserve">. En Carlos Luis Marcos Alba (ed.),</w:t>
      </w:r>
      <w:r>
        <w:t xml:space="preserve"> </w:t>
      </w:r>
      <w:r>
        <w:rPr>
          <w:i/>
          <w:iCs/>
        </w:rPr>
        <w:t xml:space="preserve">Graphic Imprints. The Influence of Representation and Ideation Tools in Architecture. EGA 2018</w:t>
      </w:r>
      <w:r>
        <w:t xml:space="preserve">. Cham: Springer: 1411-1423.</w:t>
      </w:r>
    </w:p>
    <w:p>
      <w:pPr>
        <w:pStyle w:val="BodyText"/>
      </w:pPr>
      <w:r>
        <w:t xml:space="preserve">Cárcamo Pino, Mauricio Arnoldo (2025a).</w:t>
      </w:r>
      <w:r>
        <w:t xml:space="preserve"> </w:t>
      </w:r>
      <w:r>
        <w:t xml:space="preserve">“Madera, herramientas y manuaje. Notas para una ontología evolutiva del diseñar”</w:t>
      </w:r>
      <w:r>
        <w:t xml:space="preserve">.</w:t>
      </w:r>
      <w:r>
        <w:t xml:space="preserve"> </w:t>
      </w:r>
      <w:r>
        <w:rPr>
          <w:i/>
          <w:iCs/>
        </w:rPr>
        <w:t xml:space="preserve">Revista Arteoficio</w:t>
      </w:r>
      <w:r>
        <w:t xml:space="preserve">, 21: 5-12. https://doi.org/10.35588/nn3v3487</w:t>
      </w:r>
    </w:p>
    <w:p>
      <w:pPr>
        <w:pStyle w:val="BodyText"/>
      </w:pPr>
      <w:r>
        <w:t xml:space="preserve">Cárcamo Pino, Mauricio Arnoldo (2025b).</w:t>
      </w:r>
      <w:r>
        <w:t xml:space="preserve"> </w:t>
      </w:r>
      <w:r>
        <w:t xml:space="preserve">“Oralitura/literatura y manuaje/lenguaje: una revisión por reescritura”</w:t>
      </w:r>
      <w:r>
        <w:t xml:space="preserve">.</w:t>
      </w:r>
      <w:r>
        <w:t xml:space="preserve"> </w:t>
      </w:r>
      <w:r>
        <w:rPr>
          <w:i/>
          <w:iCs/>
        </w:rPr>
        <w:t xml:space="preserve">Revista Chilena de Literatura</w:t>
      </w:r>
      <w:r>
        <w:t xml:space="preserve">, 112: 233-264.</w:t>
      </w:r>
    </w:p>
    <w:p>
      <w:pPr>
        <w:pStyle w:val="BodyText"/>
      </w:pPr>
      <w:r>
        <w:t xml:space="preserve">Choque Canqui, Roberto (1978 [1974]).</w:t>
      </w:r>
      <w:r>
        <w:t xml:space="preserve"> </w:t>
      </w:r>
      <w:r>
        <w:t xml:space="preserve">“Prólogo”</w:t>
      </w:r>
      <w:r>
        <w:t xml:space="preserve">. En Josep M. Barnadas,</w:t>
      </w:r>
      <w:r>
        <w:t xml:space="preserve"> </w:t>
      </w:r>
      <w:r>
        <w:rPr>
          <w:i/>
          <w:iCs/>
        </w:rPr>
        <w:t xml:space="preserve">Apuntes para una historia aymara</w:t>
      </w:r>
      <w:r>
        <w:t xml:space="preserve">. 2.ª ed. La Paz: CIPCA: s. p.</w:t>
      </w:r>
    </w:p>
    <w:p>
      <w:pPr>
        <w:pStyle w:val="BodyText"/>
      </w:pPr>
      <w:r>
        <w:t xml:space="preserve">Cornejo Polar, Antonio (2003 [1994]).</w:t>
      </w:r>
      <w:r>
        <w:t xml:space="preserve"> </w:t>
      </w:r>
      <w:r>
        <w:rPr>
          <w:i/>
          <w:iCs/>
        </w:rPr>
        <w:t xml:space="preserve">Escribir en el aire. Ensayo sobre la heterogeneidad socio-cultural en las literaturas andinas</w:t>
      </w:r>
      <w:r>
        <w:t xml:space="preserve">. 2.ª ed. Lima y Berkeley: CELACP y Latinoamericana Editores.</w:t>
      </w:r>
    </w:p>
    <w:p>
      <w:pPr>
        <w:pStyle w:val="BodyText"/>
      </w:pPr>
      <w:r>
        <w:t xml:space="preserve">Dean, Carolyn (2010).</w:t>
      </w:r>
      <w:r>
        <w:t xml:space="preserve"> </w:t>
      </w:r>
      <w:r>
        <w:rPr>
          <w:i/>
          <w:iCs/>
        </w:rPr>
        <w:t xml:space="preserve">A Culture of Stone: Inka Perspectives on Rock</w:t>
      </w:r>
      <w:r>
        <w:t xml:space="preserve">. Durham y Londres: Duke University Press.</w:t>
      </w:r>
    </w:p>
    <w:p>
      <w:pPr>
        <w:pStyle w:val="BodyText"/>
      </w:pPr>
      <w:r>
        <w:t xml:space="preserve">Duviols, Pierre (1979).</w:t>
      </w:r>
      <w:r>
        <w:t xml:space="preserve"> </w:t>
      </w:r>
      <w:r>
        <w:t xml:space="preserve">“Un symbolisme de l’occupation, de l’aménagement et de l’exploitation de l’espace: le monolithe «huanca» et sa fonction dans les Andes préhispaniques”</w:t>
      </w:r>
      <w:r>
        <w:t xml:space="preserve">.</w:t>
      </w:r>
      <w:r>
        <w:t xml:space="preserve"> </w:t>
      </w:r>
      <w:r>
        <w:rPr>
          <w:i/>
          <w:iCs/>
        </w:rPr>
        <w:t xml:space="preserve">L’Homme</w:t>
      </w:r>
      <w:r>
        <w:t xml:space="preserve">, 19(2): 7-31.</w:t>
      </w:r>
    </w:p>
    <w:p>
      <w:pPr>
        <w:pStyle w:val="BodyText"/>
      </w:pPr>
      <w:r>
        <w:t xml:space="preserve">Frampton, Kenneth (1995).</w:t>
      </w:r>
      <w:r>
        <w:t xml:space="preserve"> </w:t>
      </w:r>
      <w:r>
        <w:rPr>
          <w:i/>
          <w:iCs/>
        </w:rPr>
        <w:t xml:space="preserve">Studies in Tectonic Culture: The Poetics of Construction in Nineteenth and Twentieth Century Architecture</w:t>
      </w:r>
      <w:r>
        <w:t xml:space="preserve">. Ed. John Cava. Cambridge, MA y Londres: MIT Press.</w:t>
      </w:r>
    </w:p>
    <w:p>
      <w:pPr>
        <w:pStyle w:val="BodyText"/>
      </w:pPr>
      <w:r>
        <w:t xml:space="preserve">Garrington, Abbie (2013).</w:t>
      </w:r>
      <w:r>
        <w:t xml:space="preserve"> </w:t>
      </w:r>
      <w:r>
        <w:rPr>
          <w:i/>
          <w:iCs/>
        </w:rPr>
        <w:t xml:space="preserve">Haptic Modernism: Touch and the Tactile in Modernist Writing</w:t>
      </w:r>
      <w:r>
        <w:t xml:space="preserve">. Edimburgo: Edinburgh University Press.</w:t>
      </w:r>
    </w:p>
    <w:p>
      <w:pPr>
        <w:pStyle w:val="BodyText"/>
      </w:pPr>
      <w:r>
        <w:t xml:space="preserve">Hall, Edward T. (1973 [1966]).</w:t>
      </w:r>
      <w:r>
        <w:t xml:space="preserve"> </w:t>
      </w:r>
      <w:r>
        <w:rPr>
          <w:i/>
          <w:iCs/>
        </w:rPr>
        <w:t xml:space="preserve">La dimensión oculta: enfoque antropológico del uso del espacio</w:t>
      </w:r>
      <w:r>
        <w:t xml:space="preserve">. Madrid: Instituto de Estudios de Administración Local.</w:t>
      </w:r>
    </w:p>
    <w:p>
      <w:pPr>
        <w:pStyle w:val="BodyText"/>
      </w:pPr>
      <w:r>
        <w:t xml:space="preserve">Ingold, Tim (2013).</w:t>
      </w:r>
      <w:r>
        <w:t xml:space="preserve"> </w:t>
      </w:r>
      <w:r>
        <w:rPr>
          <w:i/>
          <w:iCs/>
        </w:rPr>
        <w:t xml:space="preserve">Making: Anthropology, Archaeology, Art and Architecture</w:t>
      </w:r>
      <w:r>
        <w:t xml:space="preserve">. Londres y Nueva York: Routledge.</w:t>
      </w:r>
    </w:p>
    <w:p>
      <w:pPr>
        <w:pStyle w:val="BodyText"/>
      </w:pPr>
      <w:r>
        <w:t xml:space="preserve">Le Guin, Ursula K. (2021 [1986]).</w:t>
      </w:r>
      <w:r>
        <w:t xml:space="preserve"> </w:t>
      </w:r>
      <w:r>
        <w:t xml:space="preserve">“La teoría de la bolsa de transporte de la ficción”</w:t>
      </w:r>
      <w:r>
        <w:t xml:space="preserve">. Trad. Kamen Nedev y José Pérez de Lama. Biblioteca Anarquista. https://es.theanarchistlibrary.org</w:t>
      </w:r>
    </w:p>
    <w:p>
      <w:pPr>
        <w:pStyle w:val="BodyText"/>
      </w:pPr>
      <w:r>
        <w:t xml:space="preserve">Lundberg, Simon (2019).</w:t>
      </w:r>
      <w:r>
        <w:t xml:space="preserve"> </w:t>
      </w:r>
      <w:r>
        <w:rPr>
          <w:i/>
          <w:iCs/>
        </w:rPr>
        <w:t xml:space="preserve">Architecture as Image</w:t>
      </w:r>
      <w:r>
        <w:t xml:space="preserve">. Proyecto de grado en Arquitectura, nivel avanzado. Estocolmo: KTH, TRITA-ABE-MBT-19132.</w:t>
      </w:r>
    </w:p>
    <w:p>
      <w:pPr>
        <w:pStyle w:val="BodyText"/>
      </w:pPr>
      <w:r>
        <w:t xml:space="preserve">Martin, Richard (2014).</w:t>
      </w:r>
      <w:r>
        <w:t xml:space="preserve"> </w:t>
      </w:r>
      <w:r>
        <w:rPr>
          <w:i/>
          <w:iCs/>
        </w:rPr>
        <w:t xml:space="preserve">The Architecture of David Lynch</w:t>
      </w:r>
      <w:r>
        <w:t xml:space="preserve">. Londres y Nueva York: Bloomsbury Academic.</w:t>
      </w:r>
    </w:p>
    <w:p>
      <w:pPr>
        <w:pStyle w:val="BodyText"/>
      </w:pPr>
      <w:r>
        <w:t xml:space="preserve">Pallasmaa, Juhani (2014 [2011]).</w:t>
      </w:r>
      <w:r>
        <w:t xml:space="preserve"> </w:t>
      </w:r>
      <w:r>
        <w:rPr>
          <w:i/>
          <w:iCs/>
        </w:rPr>
        <w:t xml:space="preserve">La imagen corpórea. Imaginación e imaginario en la arquitectura</w:t>
      </w:r>
      <w:r>
        <w:t xml:space="preserve">. Trad. Carles Muro. Barcelona: Gustavo Gili.</w:t>
      </w:r>
    </w:p>
    <w:p>
      <w:pPr>
        <w:pStyle w:val="BodyText"/>
      </w:pPr>
      <w:r>
        <w:t xml:space="preserve">Rivera Cusicanqui, Silvia (2010 [1984]).</w:t>
      </w:r>
      <w:r>
        <w:t xml:space="preserve"> </w:t>
      </w:r>
      <w:r>
        <w:rPr>
          <w:i/>
          <w:iCs/>
        </w:rPr>
        <w:t xml:space="preserve">«Oprimidos pero no vencidos». Luchas del campesinado aymara y qhechwa 1900-1980</w:t>
      </w:r>
      <w:r>
        <w:t xml:space="preserve">. 4.ª ed. La Paz: WA-GUI.</w:t>
      </w:r>
    </w:p>
    <w:p>
      <w:pPr>
        <w:pStyle w:val="BodyText"/>
      </w:pPr>
      <w:r>
        <w:t xml:space="preserve">Rodríguez, Malena y Rodríguez, Gabriel (2025).</w:t>
      </w:r>
      <w:r>
        <w:t xml:space="preserve"> </w:t>
      </w:r>
      <w:r>
        <w:t xml:space="preserve">“Susto andino y violencia política”</w:t>
      </w:r>
      <w:r>
        <w:t xml:space="preserve">. En Eloísa Paz y alfonso borragán (dirs.),</w:t>
      </w:r>
      <w:r>
        <w:t xml:space="preserve"> </w:t>
      </w:r>
      <w:r>
        <w:rPr>
          <w:i/>
          <w:iCs/>
        </w:rPr>
        <w:t xml:space="preserve">Susto al susto</w:t>
      </w:r>
      <w:r>
        <w:t xml:space="preserve">. La Paz: A ediciones: 43-61.</w:t>
      </w:r>
    </w:p>
    <w:p>
      <w:pPr>
        <w:pStyle w:val="BodyText"/>
      </w:pPr>
      <w:r>
        <w:t xml:space="preserve">Scott, James C. (2020 [1998]).</w:t>
      </w:r>
      <w:r>
        <w:t xml:space="preserve"> </w:t>
      </w:r>
      <w:r>
        <w:rPr>
          <w:i/>
          <w:iCs/>
        </w:rPr>
        <w:t xml:space="preserve">Seeing Like a State: How Certain Schemes to Improve the Human Condition Have Failed</w:t>
      </w:r>
      <w:r>
        <w:t xml:space="preserve">. New Haven y Londres: Yale University Press.</w:t>
      </w:r>
    </w:p>
    <w:p>
      <w:pPr>
        <w:pStyle w:val="BodyText"/>
      </w:pPr>
      <w:r>
        <w:t xml:space="preserve">Seguí de la Riva, Javier (2010).</w:t>
      </w:r>
      <w:r>
        <w:t xml:space="preserve"> </w:t>
      </w:r>
      <w:r>
        <w:rPr>
          <w:i/>
          <w:iCs/>
        </w:rPr>
        <w:t xml:space="preserve">Ser dibujo</w:t>
      </w:r>
      <w:r>
        <w:t xml:space="preserve">. Madrid: Mairea Libros y Escuela Técnica Superior de Arquitectura de Madrid.</w:t>
      </w:r>
    </w:p>
    <w:p>
      <w:pPr>
        <w:pStyle w:val="BodyText"/>
      </w:pPr>
      <w:r>
        <w:t xml:space="preserve">Spedding, Alison (2025).</w:t>
      </w:r>
      <w:r>
        <w:t xml:space="preserve"> </w:t>
      </w:r>
      <w:r>
        <w:t xml:space="preserve">“Piedras en el camino”</w:t>
      </w:r>
      <w:r>
        <w:t xml:space="preserve">. En Eloísa Paz y alfonso borragán (dirs.),</w:t>
      </w:r>
      <w:r>
        <w:t xml:space="preserve"> </w:t>
      </w:r>
      <w:r>
        <w:rPr>
          <w:i/>
          <w:iCs/>
        </w:rPr>
        <w:t xml:space="preserve">Susto al susto</w:t>
      </w:r>
      <w:r>
        <w:t xml:space="preserve">. La Paz: A ediciones: XIII-XXIII.</w:t>
      </w:r>
    </w:p>
    <w:p>
      <w:pPr>
        <w:pStyle w:val="BodyText"/>
      </w:pPr>
      <w:r>
        <w:t xml:space="preserve">Vázquez Ramos, Fernando Guillermo; Dias Ribeiro, Carlos Eduardo; Quedas Campoy, Carlos y Ferreira de Paula, Franklin Roberto (2023).</w:t>
      </w:r>
      <w:r>
        <w:t xml:space="preserve"> </w:t>
      </w:r>
      <w:r>
        <w:t xml:space="preserve">“Reflexões sobre a construção histórica do conceito de espaço: uma aproximação”</w:t>
      </w:r>
      <w:r>
        <w:t xml:space="preserve">.</w:t>
      </w:r>
      <w:r>
        <w:t xml:space="preserve"> </w:t>
      </w:r>
      <w:r>
        <w:rPr>
          <w:i/>
          <w:iCs/>
        </w:rPr>
        <w:t xml:space="preserve">Risco. Revista de Pesquisa em Arquitetura e Urbanismo</w:t>
      </w:r>
      <w:r>
        <w:t xml:space="preserve">, 21: 1-18. https://doi.org/10.11606/1984-4506.risco.2023.187844</w:t>
      </w:r>
    </w:p>
    <w:p>
      <w:pPr>
        <w:pStyle w:val="BodyText"/>
      </w:pPr>
      <w:r>
        <w:t xml:space="preserve">Zavaleta Mercado, René (1986).</w:t>
      </w:r>
      <w:r>
        <w:t xml:space="preserve"> </w:t>
      </w:r>
      <w:r>
        <w:rPr>
          <w:i/>
          <w:iCs/>
        </w:rPr>
        <w:t xml:space="preserve">Lo nacional-popular en Bolivia</w:t>
      </w:r>
      <w:r>
        <w:t xml:space="preserve">. México: Siglo XXI.</w:t>
      </w:r>
    </w:p>
    <w:bookmarkEnd w:id="45"/>
    <w:bookmarkEnd w:id="46"/>
    <w:sectPr>
      <w:footnotePr>
        <w:numRestart w:val="eachSect"/>
      </w:footnotePr>
      <w:pgSz w:h="15840" w:w="12240"/>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10">
    <w:p>
      <w:pPr>
        <w:pStyle w:val="FootnoteText"/>
      </w:pPr>
      <w:r>
        <w:rPr>
          <w:rStyle w:val="FootnoteReference"/>
        </w:rPr>
        <w:footnoteRef/>
      </w:r>
      <w:r>
        <w:t xml:space="preserve"> </w:t>
      </w:r>
      <w:r>
        <w:t xml:space="preserve">Las traducciones de las citas en inglés, francés y portugués son nuestras.</w:t>
      </w:r>
    </w:p>
  </w:footnote>
  <w:footnote w:id="11">
    <w:p>
      <w:pPr>
        <w:pStyle w:val="FootnoteText"/>
      </w:pPr>
      <w:r>
        <w:rPr>
          <w:rStyle w:val="FootnoteReference"/>
        </w:rPr>
        <w:footnoteRef/>
      </w:r>
      <w:r>
        <w:t xml:space="preserve"> </w:t>
      </w:r>
      <w:r>
        <w:t xml:space="preserve">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limpia un campo, más que trazando líneas.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36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360" w:lineRule="auto"/>
    </w:pPr>
    <w:rPr>
      <w:rFonts w:ascii="Times New Roman" w:cs="Times New Roman" w:eastAsia="Times New Roman" w:hAnsi="Times New Roman"/>
      <w:sz w:val="24"/>
    </w:rPr>
  </w:style>
  <w:style w:customStyle="1" w:styleId="Compact" w:type="paragraph">
    <w:name w:val="Compact"/>
    <w:basedOn w:val="BodyText"/>
    <w:qFormat/>
    <w:pPr>
      <w:spacing w:after="120" w:before="0" w:line="36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120" w:before="240" w:line="360" w:lineRule="auto"/>
      <w:contextualSpacing/>
      <w:jc w:val="center"/>
    </w:pPr>
    <w:rPr>
      <w:rFonts w:ascii="Times New Roman" w:cs="Times New Roman" w:eastAsia="Times New Roman" w:hAnsi="Times New Roman"/>
      <w:b/>
      <w:i w:val="0"/>
      <w:sz w:val="28"/>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before="240" w:line="360" w:lineRule="auto"/>
    </w:pPr>
    <w:rPr>
      <w:rFonts w:ascii="Times New Roman" w:cs="Times New Roman" w:eastAsia="Times New Roman" w:hAnsi="Times New Roman"/>
      <w:b/>
      <w:i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20" w:before="0" w:line="360" w:lineRule="auto"/>
    </w:pPr>
    <w:rPr>
      <w:rFonts w:ascii="Times New Roman" w:cs="Times New Roman" w:eastAsia="Times New Roman" w:hAnsi="Times New Roman"/>
      <w:sz w:val="24"/>
      <w:szCs w:val="24"/>
    </w:rPr>
  </w:style>
  <w:style w:styleId="Date" w:type="paragraph">
    <w:name w:val="Date"/>
    <w:basedOn w:val="Title"/>
    <w:next w:val="BodyText"/>
    <w:qFormat/>
    <w:pPr>
      <w:keepNext/>
      <w:keepLines/>
      <w:spacing w:after="120" w:before="0" w:line="360" w:lineRule="auto"/>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120" w:before="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after="120" w:before="0" w:line="36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120" w:before="240" w:line="360" w:lineRule="auto"/>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outlineLvl w:val="1"/>
    </w:pPr>
    <w:rPr>
      <w:rFonts w:ascii="Times New Roman" w:cs="Times New Roman" w:eastAsia="Times New Roman" w:hAnsi="Times New Roman"/>
      <w:b/>
      <w:i w:val="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outlineLvl w:val="3"/>
    </w:pPr>
    <w:rPr>
      <w:rFonts w:ascii="Times New Roman" w:cs="Times New Roman" w:eastAsia="Times New Roman" w:hAnsi="Times New Roman"/>
      <w:b/>
      <w:i w:val="0"/>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360"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pPr>
      <w:spacing w:after="40" w:before="0" w:line="240" w:lineRule="auto"/>
    </w:pPr>
    <w:rPr>
      <w:rFonts w:ascii="Times New Roman" w:cs="Times New Roman" w:eastAsia="Times New Roman" w:hAnsi="Times New Roman"/>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after="120" w:before="0" w:line="360" w:lineRule="auto"/>
    </w:pPr>
    <w:rPr>
      <w:rFonts w:ascii="Times New Roman" w:cs="Times New Roman" w:eastAsia="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before="0" w:line="360" w:lineRule="auto"/>
    </w:pPr>
    <w:rPr>
      <w:rFonts w:ascii="Times New Roman" w:cs="Times New Roman" w:eastAsia="Times New Roman" w:hAnsi="Times New Roman"/>
      <w:b/>
      <w:sz w:val="24"/>
    </w:rPr>
  </w:style>
  <w:style w:customStyle="1" w:styleId="Definition" w:type="paragraph">
    <w:name w:val="Definition"/>
    <w:basedOn w:val="Normal"/>
    <w:pPr>
      <w:spacing w:after="120" w:before="0" w:line="360" w:lineRule="auto"/>
    </w:pPr>
    <w:rPr>
      <w:rFonts w:ascii="Times New Roman" w:cs="Times New Roman" w:eastAsia="Times New Roman" w:hAnsi="Times New Roman"/>
      <w:sz w:val="24"/>
    </w:rPr>
  </w:style>
  <w:style w:styleId="Caption" w:type="paragraph">
    <w:name w:val="Caption"/>
    <w:basedOn w:val="Normal"/>
    <w:link w:val="BodyTextChar"/>
    <w:pPr>
      <w:spacing w:after="240" w:before="60" w:line="240" w:lineRule="auto"/>
    </w:pPr>
    <w:rPr>
      <w:rFonts w:ascii="Times New Roman" w:cs="Times New Roman" w:eastAsia="Times New Roman" w:hAnsi="Times New Roman"/>
      <w:i w:val="0"/>
      <w:sz w:val="20"/>
    </w:rPr>
  </w:style>
  <w:style w:customStyle="1" w:styleId="TableCaption" w:type="paragraph">
    <w:name w:val="Table Caption"/>
    <w:basedOn w:val="Caption"/>
    <w:pPr>
      <w:keepNext/>
      <w:spacing w:after="240" w:before="60" w:line="240" w:lineRule="auto"/>
    </w:pPr>
    <w:rPr>
      <w:rFonts w:ascii="Times New Roman" w:cs="Times New Roman" w:eastAsia="Times New Roman" w:hAnsi="Times New Roman"/>
      <w:i w:val="0"/>
      <w:sz w:val="20"/>
    </w:rPr>
  </w:style>
  <w:style w:customStyle="1" w:styleId="ImageCaption" w:type="paragraph">
    <w:name w:val="Image Caption"/>
    <w:basedOn w:val="Caption"/>
    <w:pPr>
      <w:spacing w:after="240" w:before="60" w:line="240" w:lineRule="auto"/>
      <w:jc w:val="center"/>
    </w:pPr>
    <w:rPr>
      <w:rFonts w:ascii="Times New Roman" w:cs="Times New Roman" w:eastAsia="Times New Roman" w:hAnsi="Times New Roman"/>
      <w:i w:val="0"/>
      <w:sz w:val="20"/>
    </w:rPr>
  </w:style>
  <w:style w:customStyle="1" w:styleId="Figure" w:type="paragraph">
    <w:name w:val="Figure"/>
    <w:basedOn w:val="Normal"/>
    <w:pPr>
      <w:spacing w:after="120" w:before="0" w:line="360" w:lineRule="auto"/>
      <w:jc w:val="center"/>
    </w:pPr>
    <w:rPr>
      <w:rFonts w:ascii="Times New Roman" w:cs="Times New Roman" w:eastAsia="Times New Roman" w:hAnsi="Times New Roman"/>
      <w:sz w:val="24"/>
    </w:rPr>
  </w:style>
  <w:style w:customStyle="1" w:styleId="CaptionedFigure" w:type="paragraph">
    <w:name w:val="Captioned Figure"/>
    <w:basedOn w:val="Figure"/>
    <w:pPr>
      <w:keepNext/>
      <w:spacing w:after="120" w:before="0" w:line="360" w:lineRule="auto"/>
      <w:jc w:val="center"/>
    </w:pPr>
    <w:rPr>
      <w:rFonts w:ascii="Times New Roman" w:cs="Times New Roman" w:eastAsia="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Figura" w:type="paragraph">
    <w:name w:val="Figura"/>
    <w:basedOn w:val="Normal"/>
    <w:pPr>
      <w:keepNext/>
      <w:spacing w:after="60" w:before="240" w:line="240" w:lineRule="auto"/>
      <w:jc w:val="center"/>
    </w:pPr>
    <w:rPr>
      <w:rFonts w:ascii="Times New Roman" w:cs="Times New Roman" w:eastAsia="Times New Roman" w:hAnsi="Times New Roman"/>
      <w:i w:val="0"/>
      <w:sz w:val="24"/>
    </w:rPr>
  </w:style>
  <w:style w:customStyle="1" w:styleId="Piedefigura" w:type="paragraph">
    <w:name w:val="Pie de figura"/>
    <w:basedOn w:val="Normal"/>
    <w:pPr>
      <w:keepNext w:val="0"/>
      <w:spacing w:after="240" w:before="60" w:line="240" w:lineRule="auto"/>
      <w:jc w:val="center"/>
    </w:pPr>
    <w:rPr>
      <w:rFonts w:ascii="Times New Roman" w:cs="Times New Roman" w:eastAsia="Times New Roman" w:hAnsi="Times New Roman"/>
      <w:i w:val="0"/>
      <w:sz w:val="20"/>
    </w:rPr>
  </w:style>
  <w:style w:customStyle="1" w:styleId="Epígrafe" w:type="paragraph">
    <w:name w:val="Epígrafe"/>
    <w:basedOn w:val="Normal"/>
    <w:pPr>
      <w:spacing w:after="120" w:before="0" w:line="240" w:lineRule="auto"/>
      <w:ind w:left="3969"/>
    </w:pPr>
    <w:rPr>
      <w:rFonts w:ascii="Times New Roman" w:cs="Times New Roman" w:eastAsia="Times New Roman" w:hAnsi="Times New Roman"/>
      <w:i w:val="0"/>
      <w:sz w:val="2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 Id="rId22" Type="http://schemas.openxmlformats.org/officeDocument/2006/relationships/image" Target="media/rId22.png"/><Relationship Id="rId25" Type="http://schemas.openxmlformats.org/officeDocument/2006/relationships/image" Target="media/rId25.png"/><Relationship Id="rId29" Type="http://schemas.openxmlformats.org/officeDocument/2006/relationships/image" Target="media/rId29.png"/><Relationship Id="rId32" Type="http://schemas.openxmlformats.org/officeDocument/2006/relationships/image" Target="media/rId32.png"/><Relationship Id="rId36" Type="http://schemas.openxmlformats.org/officeDocument/2006/relationships/image" Target="media/rId36.png"/><Relationship Id="rId40" Type="http://schemas.openxmlformats.org/officeDocument/2006/relationships/image" Target="media/rId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2026-10-01T00:30:24Z</dcterms:created>
  <dcterms:modified xsi:type="dcterms:W3CDTF">2026-10-01T00:30:24Z</dcterms:modified>
</cp:coreProperties>
</file>

<file path=docProps/custom.xml><?xml version="1.0" encoding="utf-8"?>
<Properties xmlns="http://schemas.openxmlformats.org/officeDocument/2006/custom-properties" xmlns:vt="http://schemas.openxmlformats.org/officeDocument/2006/docPropsVTypes"/>
</file>