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b77f2b31b346d0baf66ecb196d493a47741f34c"/>
      <w:r>
        <w:rPr/>
        <w:t xml:space="preserve">La cosecha de piedras: dibujar el habitar en </w:t>
      </w:r>
      <w:r>
        <w:rPr>
          <w:i/>
          <w:iCs/>
        </w:rPr>
        <w:t>Altiplano</w:t>
      </w:r>
      <w:r>
        <w:rPr/>
        <w:t xml:space="preserve"> de Botelho Gosálvez</w:t>
      </w:r>
    </w:p>
    <w:p>
      <w:pPr>
        <w:pStyle w:val="FirstParagraph"/>
        <w:rPr/>
      </w:pPr>
      <w:r>
        <w:rPr>
          <w:b/>
          <w:bCs/>
        </w:rPr>
        <w:t xml:space="preserve">The Harvest of Stones: Drawing Dwelling in Botelho Gosálvez’s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La misma palabra nombra la piedra que se saca del campo y la que sujeta el techo. Que la faena tenga verbo importa: para Juhani Pallasmaa, «las experiencias arquitectónicas básicas tienen carácter de verbos más que de sustantivos» (Pallasmaa, 2014: 158). Un arquitecto reconoce aquí dos maneras de construir.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w:t>
      </w:r>
      <w:ins w:id="0" w:author="Unknown Author" w:date="2026-09-27T04:57:26Z">
        <w:r>
          <w:rPr/>
          <w:t xml:space="preserve">Leer así se parece al esgrafiado: se raspa la capa del narrador para que aparezca la de abajo. </w:t>
        </w:r>
      </w:ins>
      <w:r>
        <w:rPr/>
        <w:t>El argumento cabe en tres materiales. El ayllu marca su tierra con piedras: despeja, amontona, cerca y amojona. La aldea la reescribe con papeles: títulos, expedientes, ordenanzas. La mina convierte el mismo gesto en mercancía con máquinas. Entre la piedra y el papel el intercambio no es parejo: ante la ley, un mojón no vale lo que un título.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Aquí no se lee la novela ni como documento ni como redención.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no es la excepción.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se hace desde la arquitectura y el dibujo, con las herramientas de ese oficio: la planta, el corte, el peso de los materiales, la mano que dibuja. Hay tres razones para hacerlo así. Primero, en </w:t>
      </w:r>
      <w:r>
        <w:rPr>
          <w:i/>
          <w:iCs/>
        </w:rPr>
        <w:t>Altiplano</w:t>
      </w:r>
      <w:r>
        <w:rPr/>
        <w:t xml:space="preserve"> el saber sobre el espacio es material: piedra, adobe, paja y papel. Segundo, el dibujo, que obliga a decidir punto de vista, escala y límite, deja a la vista las categorías que el lector proyecta. Tercero,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Dicho de manera simple: para la primera, la tierra es un conjunto de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y cada oficio tiene su </w:t>
      </w:r>
      <w:r>
        <w:rPr>
          <w:i/>
          <w:iCs/>
        </w:rPr>
        <w:t>manoaje</w:t>
      </w:r>
      <w:r>
        <w:rP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 </w:t>
      </w:r>
      <w:r>
        <w:rPr>
          <w:i/>
          <w:iCs/>
        </w:rPr>
        <w:t>Altiplano</w:t>
      </w:r>
      <w:r>
        <w:rPr/>
        <w:t xml:space="preserve"> pone los dos a la vista.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 Los dos primeros pasos se hacen sobre el texto; los dos últimos, en el pastel.</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 xml:space="preserve">La chujlla de los Huanca permite medir la casa.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w:t>
      </w:r>
      <w:ins w:id="1" w:author="Unknown Author" w:date="2026-09-27T04:57:26Z">
        <w:r>
          <w:rPr/>
          <w:t>que</w:t>
        </w:r>
      </w:ins>
      <w:del w:id="2" w:author="Unknown Author" w:date="2026-09-27T04:57:26Z">
        <w:r>
          <w:rPr/>
          <w:delText>y</w:delText>
        </w:r>
      </w:del>
      <w:r>
        <w:rPr/>
        <w:t xml:space="preserve"> para Cárcamo Pino </w:t>
      </w:r>
      <w:del w:id="3" w:author="Unknown Author" w:date="2026-09-27T04:57:26Z">
        <w:r>
          <w:rPr/>
          <w:delText xml:space="preserve">una caja de herramientas </w:delText>
        </w:r>
      </w:del>
      <w:r>
        <w:rPr/>
        <w:t>es a las manos lo que un idioma</w:t>
      </w:r>
      <w:del w:id="4" w:author="Unknown Author" w:date="2026-09-27T04:57:26Z">
        <w:r>
          <w:rPr/>
          <w:delText xml:space="preserve"> es</w:delText>
        </w:r>
      </w:del>
      <w:r>
        <w:rPr/>
        <w:t xml:space="preserve">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 Su umbral es el «portal de su chujlla» desde el que Paulo Huanca ve partir a los hijos que la escasez expulsa (Botelho Gosálvez, 1982 [1945]: 34).</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de dos metros de alto, fuego al centro, herramientas colgadas de las vigas (ibid.: 8, 30-31) y, en el techo, un crucifijo con «una pequeña huaca de barro cocido» (ibid.: 10). (2) </w:t>
      </w:r>
      <w:r>
        <w:rPr>
          <w:i/>
          <w:iCs/>
        </w:rPr>
        <w:t>Operación</w:t>
      </w:r>
      <w:r>
        <w:rP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lugares: el del narrador, intruso en la puerta, y el del cuerpo que habita, al que remiten el hollín, los camastros y las herramientas. El corte elige el segundo y se detiene donde se detiene el narrador: en el alma de los comunarios, porque «en su secreto, nadie podía entrar» (Botelho Gosálvez, 1982 [1945]: 65).</w:t>
      </w:r>
    </w:p>
    <w:p>
      <w:pPr>
        <w:pStyle w:val="Figura"/>
        <w:rPr/>
      </w:pPr>
      <w:r>
        <w:rPr/>
        <w:drawing>
          <wp:inline distT="0" distB="0" distL="0" distR="0">
            <wp:extent cx="5039995" cy="28670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286702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w:t>
      </w:r>
      <w:del w:id="5" w:author="Unknown Author" w:date="2026-09-27T04:57:26Z">
        <w:r>
          <w:rPr/>
          <w:delText xml:space="preserve">signo no es una jerarquía fija, sino un mecanismo que vuelve a escalonar a la gente en cada lugar; y el </w:delText>
        </w:r>
      </w:del>
      <w:r>
        <w:rPr/>
        <w:t>mito y el mapa no se oponen</w:t>
      </w:r>
      <w:ins w:id="6" w:author="Unknown Author" w:date="2026-09-27T04:57:26Z">
        <w:r>
          <w:rPr/>
          <w:t>:</w:t>
        </w:r>
      </w:ins>
      <w:del w:id="7" w:author="Unknown Author" w:date="2026-09-27T04:57:26Z">
        <w:r>
          <w:rPr/>
          <w:delText>, porque</w:delText>
        </w:r>
      </w:del>
      <w:r>
        <w:rPr/>
        <w:t xml:space="preserve"> los dos escalonan.</w:t>
      </w:r>
    </w:p>
    <w:p>
      <w:pPr>
        <w:pStyle w:val="Figura"/>
        <w:rPr/>
      </w:pPr>
      <w:r>
        <w:rPr/>
        <w:drawing>
          <wp:inline distT="0" distB="0" distL="0" distR="0">
            <wp:extent cx="4679950" cy="37865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79950" cy="378650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Rechaza la defensa, aunque una amenaza lo obliga a pagar la consulta (ibid.: 105).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vuelve a proyectar: mira la cordillera con la arquitectura de Europa.</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 Es una arquitectura de manos.</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Un umbral sin piedras.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28270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2827020"/>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Formato vertical.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del w:id="8" w:author="Unknown Author" w:date="2026-09-27T04:57:26Z">
        <w:r>
          <w:rPr/>
          <w:delText xml:space="preserve"> La montaña de piedras que los comunarios soñaban más alta que el cerro (Botelho Gosálvez, 1982 [1945]: 9) crece, pero como desmonte: el cascote se sube «a la superficie» (ibid.: 144).</w:delText>
        </w:r>
      </w:del>
    </w:p>
    <w:p>
      <w:pPr>
        <w:pStyle w:val="Figura"/>
        <w:rPr/>
      </w:pPr>
      <w:r>
        <w:rPr/>
        <w:drawing>
          <wp:inline distT="0" distB="0" distL="0" distR="0">
            <wp:extent cx="3241675" cy="4679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241675" cy="4679950"/>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w:t>
      </w:r>
      <w:del w:id="9" w:author="Unknown Author" w:date="2026-09-27T04:57:26Z">
        <w:r>
          <w:rPr/>
          <w:delText xml:space="preserve"> La llanura sin límites se vuelve una jaula, y el cerco se cerrará sobre un hombre.</w:delText>
        </w:r>
      </w:del>
    </w:p>
    <w:p>
      <w:pPr>
        <w:pStyle w:val="BodyText"/>
        <w:rPr/>
      </w:pPr>
      <w:r>
        <w:rP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274193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274193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44925" cy="4679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44925" cy="4679950"/>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w:t>
      </w:r>
      <w:del w:id="10" w:author="Unknown Author" w:date="2026-09-27T04:57:26Z">
        <w:r>
          <w:rPr/>
          <w:delText xml:space="preserve">Falta, además, la fuerza animal. </w:delText>
        </w:r>
      </w:del>
      <w:r>
        <w:rPr/>
        <w:t xml:space="preserve">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 xml:space="preserve">Muralla, foso, atalaya: recordar es construir, y olvidar también. Es lo contrario del lema que abre este artículo: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w:t>
      </w:r>
      <w:ins w:id="11" w:author="Unknown Author" w:date="2026-09-27T04:57:26Z">
        <w:r>
          <w:rPr/>
          <w:t xml:space="preserve">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w:t>
        </w:r>
      </w:ins>
      <w:r>
        <w:rPr/>
        <w:t>Con la cosecha, los derrotados «olvidaron la pesadilla pasada», y la Pachamama recuperó «su prestigio de hembra paridora y múltiple» (ibid.: 159). La paz se paga con ese olvido.</w:t>
      </w:r>
    </w:p>
    <w:p>
      <w:pPr>
        <w:pStyle w:val="BodyText"/>
        <w:rPr/>
      </w:pPr>
      <w:r>
        <w:rPr/>
        <w:t xml:space="preserve">Ursula K. Le Guin opuso dos formas de contar: la del arma, con forma de flecha,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w:t>
      </w:r>
      <w:del w:id="12" w:author="Unknown Author" w:date="2026-09-27T04:57:26Z">
        <w:r>
          <w:rPr/>
          <w:delText xml:space="preserve">pesebre fue tumba, y el ayllu reparado deja fuera a los sin tierra. El </w:delText>
        </w:r>
      </w:del>
      <w:r>
        <w:rPr/>
        <w:t>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8"/>
    </w:p>
    <w:p>
      <w:pPr>
        <w:pStyle w:val="Heading2"/>
        <w:rPr/>
      </w:pPr>
      <w:bookmarkStart w:id="9"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los sueños que el narrador declara inaccesibles.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9"/>
    </w:p>
    <w:p>
      <w:pPr>
        <w:pStyle w:val="Heading2"/>
        <w:rPr/>
      </w:pPr>
      <w:bookmarkStart w:id="10"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inteligencia artificial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0"/>
    </w:p>
    <w:p>
      <w:pPr>
        <w:pStyle w:val="Heading2"/>
        <w:rPr/>
      </w:pPr>
      <w:bookmarkStart w:id="11" w:name="bibliografía"/>
      <w:r>
        <w:rPr/>
        <w:t>Bibliografía</w:t>
      </w:r>
    </w:p>
    <w:p>
      <w:pPr>
        <w:pStyle w:val="FirstParagraph"/>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1"/>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2026-09-27T04:57:19Z</dcterms:created>
  <dc:creator/>
  <dc:description/>
  <dc:language>en-US</dc:language>
  <cp:lastModifiedBy/>
  <dcterms:modified xsi:type="dcterms:W3CDTF">2026-09-27T04:57:26Z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