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Lo acompaña un atlas privado en Are.na, con lo que está alrededor del proyecto: registros de la ruina, tipografías con motivos andinos que sirven de contraste y proyectos parecidos. Allí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El atlas: lo que está alrededor</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Los once canales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Vecinas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Otras letras: el contraste</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La ruina: registros, no motivos</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32</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35</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r>
        <w:rPr>
          <w:rFonts w:ascii="Newsreader Medium" w:cs="Newsreader Medium" w:eastAsia="Newsreader Medium" w:hAnsi="Newsreader Medium"/>
        </w:rPr>
        <w:t xml:space="preserve">El atlas, para mirar alrededor.</w:t>
      </w:r>
      <w:r>
        <w:rPr>
          <w:rFonts w:ascii="Newsreader" w:cs="Newsreader" w:eastAsia="Newsreader" w:hAnsi="Newsreader"/>
        </w:rPr>
        <w:t xml:space="preserve"> Un atlas en Are.na junta libros e imágenes de dominio público, estudios y proyectos de otras personas. Cada bloque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086475"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una placa en su charco (la obra), un lápiz (el manuaje de Cárcamo) y los anillos de un tronco (Johnson).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El atlas: lo que está alrededor</w:t>
      </w:r>
    </w:p>
    <w:p>
      <w:r>
        <w:rPr>
          <w:rFonts w:ascii="Newsreader" w:cs="Newsreader" w:eastAsia="Newsreader" w:hAnsi="Newsreader"/>
        </w:rPr>
        <w:t xml:space="preserve">El atlas vive en Are.na, una plataforma que guarda bloques sueltos en canales. Un mismo bloque puede estar en varios canales sin copiarse: se </w:t>
      </w:r>
      <w:r>
        <w:rPr>
          <w:rFonts w:ascii="Newsreader Italic" w:cs="Newsreader Italic" w:eastAsia="Newsreader Italic" w:hAnsi="Newsreader Italic"/>
        </w:rPr>
        <w:t xml:space="preserve">conecta</w:t>
      </w:r>
      <w:r>
        <w:rPr>
          <w:rFonts w:ascii="Newsreader" w:cs="Newsreader" w:eastAsia="Newsreader" w:hAnsi="Newsreader"/>
        </w:rPr>
        <w:t xml:space="preserve">. Es la lógica de la caja: las placas son sueltas, componer es distribuir, y una placa no se duplica. Los canales son privados y el reparto es el del proyecto: la mano cura, la máquina lee. La primera curaduría de material externo la hizo la máquina a pedido, el 10 de octubre de 2026, con 44 bloques y 9 conexiones a material de otras personas (</w:t>
      </w:r>
      <w:r>
        <w:rPr>
          <w:rFonts w:ascii="Courier Prime" w:cs="Courier Prime" w:eastAsia="Courier Prime" w:hAnsi="Courier Prime"/>
          <w:sz w:val="18"/>
          <w:szCs w:val="18"/>
        </w:rPr>
        <w:t xml:space="preserve">tipografia/10_arena.md</w:t>
      </w:r>
      <w:r>
        <w:rPr>
          <w:rFonts w:ascii="Newsreader" w:cs="Newsreader" w:eastAsia="Newsreader" w:hAnsi="Newsreader"/>
        </w:rPr>
        <w:t xml:space="preserve">).</w:t>
      </w:r>
    </w:p>
    <w:p>
      <w:pPr>
        <w:pStyle w:val="Heading2"/>
        <w:keepNext/>
      </w:pPr>
      <w:r>
        <w:t xml:space="preserve">11.1. Los once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00"/>
        <w:gridCol w:w="6412"/>
      </w:tblGrid>
      <w:tr>
        <w:trPr>
          <w:tblHeader/>
        </w:trPr>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Canal</w:t>
            </w:r>
          </w:p>
        </w:tc>
        <w:tc>
          <w:tcPr>
            <w:tcW w:type="dxa" w:w="6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guarda</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contenida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matriz: conecta los demás y dice cómo leer el atlas</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desenterrar · contener · devolver</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acciones 0 a 12, con material externo: frotados de estelas, el </w:t>
            </w:r>
            <w:r>
              <w:rPr>
                <w:rFonts w:ascii="Newsreader Italic" w:cs="Newsreader Italic" w:eastAsia="Newsreader Italic" w:hAnsi="Newsreader Italic"/>
                <w:color w:val="1D1C1A"/>
                <w:sz w:val="18"/>
                <w:szCs w:val="18"/>
              </w:rPr>
              <w:t xml:space="preserve">squeeze</w:t>
            </w:r>
            <w:r>
              <w:rPr>
                <w:rFonts w:ascii="Newsreader" w:cs="Newsreader" w:eastAsia="Newsreader" w:hAnsi="Newsreader"/>
                <w:color w:val="1D1C1A"/>
                <w:sz w:val="18"/>
                <w:szCs w:val="18"/>
              </w:rPr>
              <w:t xml:space="preserve">, la caja de tipos, el repujado, Chladni, Faraday, Watts Hughes</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la caja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Vacía: 56 bloques, uno por celda, que pone la mano</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la máquina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proponen la simulación y otras máquinas: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Metafont</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fuentes</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Citas breves con autor y página, y los artículos de acceso abierto</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la obra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Vacía: solo lo que Rebeca autorice por escrito</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la ruina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Cómo se registró Tiwanaku, en grabados, fotos y libros de dominio público</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otras letras</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Tipografías con motivos tiwanacotas, andinos o «étnicos», como contraste</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vecinas</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Proyectos parecidos</w:t>
            </w:r>
          </w:p>
        </w:tc>
      </w:tr>
    </w:tbl>
    <w:p>
      <w:pPr>
        <w:pStyle w:val="Heading2"/>
        <w:keepNext/>
      </w:pPr>
      <w:r>
        <w:t xml:space="preserve">11.2.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11.3.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11.4. La ruina: registros, no motivos</w:t>
      </w:r>
    </w:p>
    <w:p>
      <w:r>
        <w:rPr>
          <w:rFonts w:ascii="Newsreader" w:cs="Newsreader" w:eastAsia="Newsreader" w:hAnsi="Newsreader"/>
        </w:rPr>
        <w:t xml:space="preserve">El canal de la ruina junta cómo se registró Tiwanaku: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 Tampoco están en Are.na: el atlas es privado, pero Are.na es un tercero.</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la póliza en OpenType y este informe se hicieron con asistencia de inteligencia artificial. También la primera curaduría del atlas, hecha a pedido.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en canales aparte del atlas. Se miran, no se calcan: ningún motivo pasa a las letras, a la caja ni a la fuente. Cada bloque dice quién hizo el registro, cuándo, con qué medio y con qué licencia, y lo ajeno se conecta,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y anotar con página los bloques del atlas marcados «Pendiente», empezando por Villanueva Criales (2024).</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El libro que reproduce la lámina «según Posnansky»: sin identificar. Las demás obras del atlas, con su ficha, están en </w:t>
      </w:r>
      <w:r>
        <w:rPr>
          <w:rFonts w:ascii="Courier Prime" w:cs="Courier Prime" w:eastAsia="Courier Prime" w:hAnsi="Courier Prime"/>
          <w:sz w:val="18"/>
          <w:szCs w:val="18"/>
        </w:rPr>
        <w:t xml:space="preserve">tipografia/10_arena.md</w:t>
      </w:r>
      <w:r>
        <w:rPr>
          <w:rFonts w:ascii="Newsreader" w:cs="Newsreader" w:eastAsia="Newsreader" w:hAnsi="Newsreader"/>
        </w:rPr>
        <w:t xml:space="preserve">.</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el atlas),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9A18F184-6CF2-EDD6-0A56-B6FFEDC07E3F}"/>
  </w:font>
  <w:font w:name="Newsreader Italic">
    <w:family w:val="auto"/>
    <w:pitch w:val="variable"/>
    <w:sig w:usb0="E0002AFF" w:usb1="C000247B" w:usb2="00000009" w:usb3="00000000" w:csb0="000001FF" w:csb1="00000000"/>
    <w:embedRegular r:id="rId2" w:fontKey="{DC465B2C-B028-9075-5AFA-13AB79DCE6A0}"/>
  </w:font>
  <w:font w:name="Newsreader Light">
    <w:family w:val="auto"/>
    <w:pitch w:val="variable"/>
    <w:sig w:usb0="E0002AFF" w:usb1="C000247B" w:usb2="00000009" w:usb3="00000000" w:csb0="000001FF" w:csb1="00000000"/>
    <w:embedRegular r:id="rId3" w:fontKey="{63F39EDA-4052-6E91-B25F-E6D0ED3AFF7C}"/>
  </w:font>
  <w:font w:name="Newsreader Light Italic">
    <w:family w:val="auto"/>
    <w:pitch w:val="variable"/>
    <w:sig w:usb0="E0002AFF" w:usb1="C000247B" w:usb2="00000009" w:usb3="00000000" w:csb0="000001FF" w:csb1="00000000"/>
    <w:embedRegular r:id="rId4" w:fontKey="{3D09F427-73F9-E8EF-CA65-AA2BF05B7B9B}"/>
  </w:font>
  <w:font w:name="Newsreader Medium">
    <w:family w:val="auto"/>
    <w:pitch w:val="variable"/>
    <w:sig w:usb0="E0002AFF" w:usb1="C000247B" w:usb2="00000009" w:usb3="00000000" w:csb0="000001FF" w:csb1="00000000"/>
    <w:embedRegular r:id="rId5" w:fontKey="{D2B8AAA3-3ECB-3F88-1006-DD2311D8C993}"/>
  </w:font>
  <w:font w:name="Courier Prime">
    <w:family w:val="auto"/>
    <w:pitch w:val="variable"/>
    <w:sig w:usb0="E0002AFF" w:usb1="C000247B" w:usb2="00000009" w:usb3="00000000" w:csb0="000001FF" w:csb1="00000000"/>
    <w:embedRegular r:id="rId6" w:fontKey="{D789A906-64DD-ADA0-C9F4-E6F03BBE0FEE}"/>
  </w:font>
  <w:font w:name="Courier Prime Bold">
    <w:family w:val="auto"/>
    <w:pitch w:val="variable"/>
    <w:sig w:usb0="E0002AFF" w:usb1="C000247B" w:usb2="00000009" w:usb3="00000000" w:csb0="000001FF" w:csb1="00000000"/>
    <w:embedRegular r:id="rId7" w:fontKey="{9BF5FAAF-5066-50F0-5747-B379AD5A5AE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ea44ea051446757a964a4e2b696d232a8af05f68.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2026-10-11T08:52:21.998Z</dcterms:created>
  <dcterms:modified xsi:type="dcterms:W3CDTF">2026-10-11T08:52:21.998Z</dcterms:modified>
</cp:coreProperties>
</file>

<file path=docProps/custom.xml><?xml version="1.0" encoding="utf-8"?>
<Properties xmlns="http://schemas.openxmlformats.org/officeDocument/2006/custom-properties" xmlns:vt="http://schemas.openxmlformats.org/officeDocument/2006/docPropsVTypes"/>
</file>