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el-atlas-de-are.na"/>
    <w:p>
      <w:pPr>
        <w:pStyle w:val="Heading1"/>
      </w:pPr>
      <w:r>
        <w:t xml:space="preserve">El atlas de Are.na</w:t>
      </w:r>
    </w:p>
    <w:p>
      <w:pPr>
        <w:pStyle w:val="FirstParagraph"/>
      </w:pPr>
      <w:r>
        <w:t xml:space="preserve">Las fuentes visuales y las pistas de lectura de «Cosecha de piedras», reunidas en Are.na. Versión final, 11 de octubre de 2026.</w:t>
      </w:r>
    </w:p>
    <w:bookmarkStart w:id="9" w:name="qué-es"/>
    <w:p>
      <w:pPr>
        <w:pStyle w:val="Heading2"/>
      </w:pPr>
      <w:r>
        <w:t xml:space="preserve">Qué es</w:t>
      </w:r>
    </w:p>
    <w:p>
      <w:pPr>
        <w:pStyle w:val="FirstParagraph"/>
      </w:pPr>
      <w:r>
        <w:t xml:space="preserve">Once canales</w:t>
      </w:r>
      <w:r>
        <w:t xml:space="preserve"> </w:t>
      </w:r>
      <w:r>
        <w:rPr>
          <w:b/>
          <w:bCs/>
        </w:rPr>
        <w:t xml:space="preserve">privados</w:t>
      </w:r>
      <w:r>
        <w:t xml:space="preserve"> </w:t>
      </w:r>
      <w:r>
        <w:t xml:space="preserve">en la cuenta joaquin-cuevas, hechos el 10 y el 11 de octubre de 2026: una matriz, nueve canales por material o tema y uno vacío para tus pasteles. Tienen 38 bloques: 24 enlaces, 10 textos y 4 imágenes. No se conectó nada de otras personas, y el artículo no se cambió por el atlas.</w:t>
      </w:r>
    </w:p>
    <w:p>
      <w:pPr>
        <w:pStyle w:val="BodyText"/>
      </w:pPr>
      <w:r>
        <w:t xml:space="preserve">Cada bloque lleva una ficha con seis datos: qué es, su licencia, por qué está, qué se toma de él, cómo se verificó y qué falta. Los títulos siguen la forma «sección · autor · obra · año». Los metadatos guardan la sección del artículo, la licencia y el estado («verificado con el buscador», «no leído», «pendiente»).</w:t>
      </w:r>
    </w:p>
    <w:bookmarkEnd w:id="9"/>
    <w:bookmarkStart w:id="10" w:name="los-canales"/>
    <w:p>
      <w:pPr>
        <w:pStyle w:val="Heading2"/>
      </w:pPr>
      <w:r>
        <w:t xml:space="preserve">Los canales</w:t>
      </w:r>
    </w:p>
    <w:tbl>
      <w:tblPr>
        <w:tblStyle w:val="Table"/>
        <w:tblW w:type="dxa" w:w="9405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1360"/>
        <w:gridCol w:w="1060"/>
        <w:gridCol w:w="5806"/>
        <w:gridCol w:w="1179"/>
      </w:tblGrid>
      <w:tr>
        <w:trPr>
          <w:cantSplit/>
          <w:tblHeader/>
        </w:trPr>
        <w:tc>
          <w:tcPr>
            <w:tcW w:type="dxa" w:w="1360"/>
            <w:shd w:val="clear" w:color="auto" w:fill="EDEDED"/>
          </w:tcPr>
          <w:p>
            <w:pPr>
              <w:pStyle w:val="Compact"/>
              <w:spacing w:line="240" w:lineRule="auto" w:after="20" w:before="20"/>
            </w:pPr>
            <w:r>
              <w:rPr>
                <w:b/>
                <w:sz w:val="19"/>
              </w:rPr>
              <w:t xml:space="preserve">Canal</w:t>
            </w:r>
          </w:p>
        </w:tc>
        <w:tc>
          <w:tcPr>
            <w:tcW w:type="dxa" w:w="1060"/>
            <w:shd w:val="clear" w:color="auto" w:fill="EDEDED"/>
          </w:tcPr>
          <w:p>
            <w:pPr>
              <w:pStyle w:val="Compact"/>
              <w:spacing w:line="240" w:lineRule="auto" w:after="20" w:before="20"/>
            </w:pPr>
            <w:r>
              <w:rPr>
                <w:b/>
                <w:sz w:val="19"/>
              </w:rPr>
              <w:t xml:space="preserve">Bloques</w:t>
            </w:r>
          </w:p>
        </w:tc>
        <w:tc>
          <w:tcPr>
            <w:tcW w:type="dxa" w:w="5806"/>
            <w:shd w:val="clear" w:color="auto" w:fill="EDEDED"/>
          </w:tcPr>
          <w:p>
            <w:pPr>
              <w:pStyle w:val="Compact"/>
              <w:spacing w:line="240" w:lineRule="auto" w:after="20" w:before="20"/>
            </w:pPr>
            <w:r>
              <w:rPr>
                <w:b/>
                <w:sz w:val="19"/>
              </w:rPr>
              <w:t xml:space="preserve">Qué reúne</w:t>
            </w:r>
          </w:p>
        </w:tc>
        <w:tc>
          <w:tcPr>
            <w:tcW w:type="dxa" w:w="1179"/>
            <w:shd w:val="clear" w:color="auto" w:fill="EDEDED"/>
          </w:tcPr>
          <w:p>
            <w:pPr>
              <w:pStyle w:val="Compact"/>
              <w:spacing w:line="240" w:lineRule="auto" w:after="20" w:before="20"/>
            </w:pPr>
            <w:r>
              <w:rPr>
                <w:b/>
                <w:sz w:val="19"/>
              </w:rPr>
              <w:t xml:space="preserve">Sección del artículo</w:t>
            </w:r>
          </w:p>
        </w:tc>
      </w:tr>
      <w:tr>
        <w:trPr>
          <w:cantSplit/>
        </w:trPr>
        <w:tc>
          <w:tcPr>
            <w:tcW w:type="dxa" w:w="13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altiplano (la matriz)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3 y los 10 canales</w:t>
            </w:r>
          </w:p>
        </w:tc>
        <w:tc>
          <w:tcPr>
            <w:tcW w:type="dxa" w:w="5806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Cómo se lee el atlas; el título, la tesis y el índice del artículo; las 32 obras ya citadas, para no buscarlas de nuevo</w:t>
            </w:r>
          </w:p>
        </w:tc>
        <w:tc>
          <w:tcPr>
            <w:tcW w:type="dxa" w:w="117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Todo</w:t>
            </w:r>
          </w:p>
        </w:tc>
      </w:tr>
      <w:tr>
        <w:trPr>
          <w:cantSplit/>
        </w:trPr>
        <w:tc>
          <w:tcPr>
            <w:tcW w:type="dxa" w:w="13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altiplano · la novela y su autor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6</w:t>
            </w:r>
          </w:p>
        </w:tc>
        <w:tc>
          <w:tcPr>
            <w:tcW w:type="dxa" w:w="5806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La ficha de autoridad de Botelho Gosálvez (1917-2004) en la Biblioteca Nacional de Francia, el premio de Ciro Alegría, el catálogo de la Editorial Ayacucho y la primera edición de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Altiplano</w:t>
            </w:r>
          </w:p>
        </w:tc>
        <w:tc>
          <w:tcPr>
            <w:tcW w:type="dxa" w:w="117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altiplano · piedra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5</w:t>
            </w:r>
          </w:p>
        </w:tc>
        <w:tc>
          <w:tcPr>
            <w:tcW w:type="dxa" w:w="5806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Bertonio (el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Arte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el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Vocabulario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 1612), la Puerta del Sol de Tiwanaku según Squier (1877) y dos apachetas: una fotografiada por la expedición Nordenskiöld (1904-1905) y otra cerca de ALMA, en Atacama</w:t>
            </w:r>
          </w:p>
        </w:tc>
        <w:tc>
          <w:tcPr>
            <w:tcW w:type="dxa" w:w="117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1, 3, 7; figuras 1-3 y 8</w:t>
            </w:r>
          </w:p>
        </w:tc>
      </w:tr>
      <w:tr>
        <w:trPr>
          <w:cantSplit/>
        </w:trPr>
        <w:tc>
          <w:tcPr>
            <w:tcW w:type="dxa" w:w="13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altiplano · papel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3</w:t>
            </w:r>
          </w:p>
        </w:tc>
        <w:tc>
          <w:tcPr>
            <w:tcW w:type="dxa" w:w="5806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Los papeles de Santos Marka T’ula, el libro del THOA sobre él (1984) y las fotos de Warisata de Carlos Salazar Mostajo</w:t>
            </w:r>
          </w:p>
        </w:tc>
        <w:tc>
          <w:tcPr>
            <w:tcW w:type="dxa" w:w="117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2, 4</w:t>
            </w:r>
          </w:p>
        </w:tc>
      </w:tr>
      <w:tr>
        <w:trPr>
          <w:cantSplit/>
        </w:trPr>
        <w:tc>
          <w:tcPr>
            <w:tcW w:type="dxa" w:w="13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altiplano · máquina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4</w:t>
            </w:r>
          </w:p>
        </w:tc>
        <w:tc>
          <w:tcPr>
            <w:tcW w:type="dxa" w:w="5806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Catavi en 1930, el castillete de la mina Viscachani, la masacre de Catavi de 1942 y el índice de minas de Bolivia en Wikimedia Commons</w:t>
            </w:r>
          </w:p>
        </w:tc>
        <w:tc>
          <w:tcPr>
            <w:tcW w:type="dxa" w:w="117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5; figuras 3 y 4</w:t>
            </w:r>
          </w:p>
        </w:tc>
      </w:tr>
      <w:tr>
        <w:trPr>
          <w:cantSplit/>
        </w:trPr>
        <w:tc>
          <w:tcPr>
            <w:tcW w:type="dxa" w:w="13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altiplano · cuerpo y memoria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3</w:t>
            </w:r>
          </w:p>
        </w:tc>
        <w:tc>
          <w:tcPr>
            <w:tcW w:type="dxa" w:w="5806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Tres textos sobre el Taller de Historia Oral Andina, el del lema del epígrafe</w:t>
            </w:r>
          </w:p>
        </w:tc>
        <w:tc>
          <w:tcPr>
            <w:tcW w:type="dxa" w:w="117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6, 7; figuras 5-7</w:t>
            </w:r>
          </w:p>
        </w:tc>
      </w:tr>
      <w:tr>
        <w:trPr>
          <w:cantSplit/>
        </w:trPr>
        <w:tc>
          <w:tcPr>
            <w:tcW w:type="dxa" w:w="13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altiplano · dibujo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4</w:t>
            </w:r>
          </w:p>
        </w:tc>
        <w:tc>
          <w:tcPr>
            <w:tcW w:type="dxa" w:w="5806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El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capriccio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 Canaletto, la guía del RIBA sobre Lubetkin, el mural de Gordon Cullen en el Finsbury Health Centre y una rollage de Jiří Kolář</w:t>
            </w:r>
          </w:p>
        </w:tc>
        <w:tc>
          <w:tcPr>
            <w:tcW w:type="dxa" w:w="117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2, 8; Figura 8</w:t>
            </w:r>
          </w:p>
        </w:tc>
      </w:tr>
      <w:tr>
        <w:trPr>
          <w:cantSplit/>
        </w:trPr>
        <w:tc>
          <w:tcPr>
            <w:tcW w:type="dxa" w:w="13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altiplano · crítica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4</w:t>
            </w:r>
          </w:p>
        </w:tc>
        <w:tc>
          <w:tcPr>
            <w:tcW w:type="dxa" w:w="5806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La tesis de O’Sullivan (1951) sobre Botelho Gosálvez, Jesús de Machaqa contado por Choque Canqui y Ticona (1996), el estudio de Borello sobre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Raza de bronce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(1985) y las pistas pendientes</w:t>
            </w:r>
          </w:p>
        </w:tc>
        <w:tc>
          <w:tcPr>
            <w:tcW w:type="dxa" w:w="117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1, 8</w:t>
            </w:r>
          </w:p>
        </w:tc>
      </w:tr>
      <w:tr>
        <w:trPr>
          <w:cantSplit/>
        </w:trPr>
        <w:tc>
          <w:tcPr>
            <w:tcW w:type="dxa" w:w="13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altiplano · vecinas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4</w:t>
            </w:r>
          </w:p>
        </w:tc>
        <w:tc>
          <w:tcPr>
            <w:tcW w:type="dxa" w:w="5806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Las novelas vecinas: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Metal del diablo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Raza de bronce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El mundo es ancho y ajeno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Borrachera verde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Coca</w:t>
            </w:r>
          </w:p>
        </w:tc>
        <w:tc>
          <w:tcPr>
            <w:tcW w:type="dxa" w:w="117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altiplano · cruces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2</w:t>
            </w:r>
          </w:p>
        </w:tc>
        <w:tc>
          <w:tcPr>
            <w:tcW w:type="dxa" w:w="5806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The Voidz: la página de la banda en Qobuz y una nota sobre los dos pasajes citados, sin letras</w:t>
            </w:r>
          </w:p>
        </w:tc>
        <w:tc>
          <w:tcPr>
            <w:tcW w:type="dxa" w:w="117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2-4, 7</w:t>
            </w:r>
          </w:p>
        </w:tc>
      </w:tr>
      <w:tr>
        <w:trPr>
          <w:cantSplit/>
        </w:trPr>
        <w:tc>
          <w:tcPr>
            <w:tcW w:type="dxa" w:w="13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altiplano · pasteles</w:t>
            </w:r>
          </w:p>
        </w:tc>
        <w:tc>
          <w:tcPr>
            <w:tcW w:type="dxa" w:w="1060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0</w:t>
            </w:r>
          </w:p>
        </w:tc>
        <w:tc>
          <w:tcPr>
            <w:tcW w:type="dxa" w:w="5806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Vacío: es para los escaneos y los procesos de tus pasteles</w:t>
            </w:r>
          </w:p>
        </w:tc>
        <w:tc>
          <w:tcPr>
            <w:tcW w:type="dxa" w:w="1179"/>
          </w:tcPr>
          <w:p>
            <w:pPr>
              <w:pStyle w:val="Compact"/>
              <w:spacing w:line="240" w:lineRule="auto" w:after="20" w:before="20"/>
            </w:pPr>
            <w:r>
              <w:rPr>
                <w:sz w:val="19"/>
              </w:rPr>
              <w:t xml:space="preserve">Figuras 1-8</w:t>
            </w:r>
          </w:p>
        </w:tc>
      </w:tr>
    </w:tbl>
    <w:bookmarkEnd w:id="10"/>
    <w:bookmarkStart w:id="11" w:name="lo-que-tienes-que-mirar-o-decidir"/>
    <w:p>
      <w:pPr>
        <w:pStyle w:val="Heading2"/>
      </w:pPr>
      <w:r>
        <w:t xml:space="preserve">Lo que tienes que mirar o decidir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Las capturas</w:t>
      </w:r>
      <w:r>
        <w:t xml:space="preserve"> </w:t>
      </w:r>
      <w:r>
        <w:t xml:space="preserve">de cuatro enlaces (Qobuz, la UNSAM, la Biblioteca Virtual Miguel de Cervantes y RIBApix): no se pudieron ver desde el entorno de trabajo.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 texto de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Atenea</w:t>
      </w:r>
      <w:r>
        <w:rPr>
          <w:b/>
          <w:bCs/>
        </w:rPr>
        <w:t xml:space="preserve">, n.º 214.</w:t>
      </w:r>
      <w:r>
        <w:t xml:space="preserve"> </w:t>
      </w:r>
      <w:r>
        <w:t xml:space="preserve">Su DOI abre una página titulada «Fernando Alegría»: puede que no sea la nota sobre el premio de Ciro Alegría. Si vas a enviar el artículo a</w:t>
      </w:r>
      <w:r>
        <w:t xml:space="preserve"> </w:t>
      </w:r>
      <w:r>
        <w:rPr>
          <w:i/>
          <w:iCs/>
        </w:rPr>
        <w:t xml:space="preserve">Atenea</w:t>
      </w:r>
      <w:r>
        <w:t xml:space="preserve">, conviene leerlo.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 bloque del canal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andes</w:t>
      </w:r>
      <w:r>
        <w:rPr>
          <w:b/>
          <w:bCs/>
        </w:rPr>
        <w:t xml:space="preserve">, de otra persona (26095588).</w:t>
      </w:r>
      <w:r>
        <w:t xml:space="preserve"> </w:t>
      </w:r>
      <w:r>
        <w:t xml:space="preserve">Enlaza un artículo general sobre el pensamiento andino y los países plurinacionales, que no toca la tierra ni la piedra del altiplano aymara. La propuesta es no conectarlo; la decisión es tuya.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 bloque fallido (51249971).</w:t>
      </w:r>
      <w:r>
        <w:t xml:space="preserve"> </w:t>
      </w:r>
      <w:r>
        <w:t xml:space="preserve">Ya no está en ningún canal; puedes borrarlo desde tu cuenta.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 que hay que leer antes de citar:</w:t>
      </w:r>
      <w:r>
        <w:t xml:space="preserve"> </w:t>
      </w:r>
      <w:r>
        <w:t xml:space="preserve">O’Sullivan (1951), Borello (1985), Choque Canqui y Ticona (1996), Arriarán (2021: 29-31) y el juicio por tierras de</w:t>
      </w:r>
      <w:r>
        <w:t xml:space="preserve"> </w:t>
      </w:r>
      <w:r>
        <w:rPr>
          <w:i/>
          <w:iCs/>
        </w:rPr>
        <w:t xml:space="preserve">El mundo es ancho y ajeno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Las licencias</w:t>
      </w:r>
      <w:r>
        <w:t xml:space="preserve"> </w:t>
      </w:r>
      <w:r>
        <w:t xml:space="preserve">de las imágenes de Wikimedia Commons (Squier, Catavi, Viscachani, Canaletto y Nordenskiöld) y de la foto del ESO.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 pasaje de «Father Electricity»,</w:t>
      </w:r>
      <w:r>
        <w:t xml:space="preserve"> </w:t>
      </w:r>
      <w:r>
        <w:t xml:space="preserve">que falta cotejar con la letra oficial de</w:t>
      </w:r>
      <w:r>
        <w:t xml:space="preserve"> </w:t>
      </w:r>
      <w:r>
        <w:rPr>
          <w:i/>
          <w:iCs/>
        </w:rPr>
        <w:t xml:space="preserve">Tyranny</w:t>
      </w:r>
      <w:r>
        <w:t xml:space="preserve">. El de «Pyramid of Bones» ya se cotejó.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Tus pasteles,</w:t>
      </w:r>
      <w:r>
        <w:t xml:space="preserve"> </w:t>
      </w:r>
      <w:r>
        <w:t xml:space="preserve">que van al canal</w:t>
      </w:r>
      <w:r>
        <w:t xml:space="preserve"> </w:t>
      </w:r>
      <w:r>
        <w:rPr>
          <w:rStyle w:val="VerbatimChar"/>
        </w:rPr>
        <w:t xml:space="preserve">pasteles</w:t>
      </w:r>
      <w:r>
        <w:t xml:space="preserve"> </w:t>
      </w:r>
      <w:r>
        <w:t xml:space="preserve">con su soporte, sus medidas y su año. Lo que se haga con IA tiene que ir rotulado.</w:t>
      </w:r>
    </w:p>
    <w:bookmarkEnd w:id="11"/>
    <w:bookmarkStart w:id="12" w:name="X3a59c7d62750a2322403fa2d5544e15556070f0"/>
    <w:p>
      <w:pPr>
        <w:pStyle w:val="Heading2"/>
      </w:pPr>
      <w:r>
        <w:t xml:space="preserve">Ideas para el artículo que salieron del atlas</w:t>
      </w:r>
    </w:p>
    <w:p>
      <w:pPr>
        <w:pStyle w:val="FirstParagraph"/>
      </w:pPr>
      <w:r>
        <w:t xml:space="preserve">Ninguna se aplicó. Son opciones, cada una con su fuente: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 concurso de 1940 (sección 1).</w:t>
      </w:r>
      <w:r>
        <w:t xml:space="preserve"> </w:t>
      </w:r>
      <w:r>
        <w:t xml:space="preserve">La nota «Al lector» de la edición citada cuenta que la novela se escribió para el concurso que ganó</w:t>
      </w:r>
      <w:r>
        <w:t xml:space="preserve"> </w:t>
      </w:r>
      <w:r>
        <w:rPr>
          <w:i/>
          <w:iCs/>
        </w:rPr>
        <w:t xml:space="preserve">El mundo es ancho y ajeno</w:t>
      </w:r>
      <w:r>
        <w:t xml:space="preserve"> </w:t>
      </w:r>
      <w:r>
        <w:t xml:space="preserve">(Botelho Gosálvez, 1982 [1945]: 4). Una frase situaría la novela en su tiempo.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 otro juicio por tierras (sección 4).</w:t>
      </w:r>
      <w:r>
        <w:t xml:space="preserve"> </w:t>
      </w:r>
      <w:r>
        <w:rPr>
          <w:i/>
          <w:iCs/>
        </w:rPr>
        <w:t xml:space="preserve">El mundo es ancho y ajeno</w:t>
      </w:r>
      <w:r>
        <w:t xml:space="preserve"> </w:t>
      </w:r>
      <w:r>
        <w:t xml:space="preserve">también cuenta un despojo por vía judicial. Si lees ese juicio, una nota podría decir que la trampa de los papeles era asunto de las dos novelas del concurso.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 historia contada desde la marka (secciones 4 u 8).</w:t>
      </w:r>
      <w:r>
        <w:t xml:space="preserve"> </w:t>
      </w:r>
      <w:r>
        <w:t xml:space="preserve">Choque Canqui y Ticona (1996) cuentan desde las comunidades el conflicto de Jesús de Machaqa en 1921: un contrapeso al narrador. Solo después de leerlo.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 rollage (sección 1, en nota).</w:t>
      </w:r>
      <w:r>
        <w:t xml:space="preserve"> </w:t>
      </w:r>
      <w:r>
        <w:t xml:space="preserve">Fuão cuenta que Kolář la bautizó por las persianas de las tiendas (Fuão, 2011: 44). Podría acompañar la cita de Kolář que ya está en el artículo. Es prescindible.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Las fechas del autor (sección 1).</w:t>
      </w:r>
      <w:r>
        <w:t xml:space="preserve"> </w:t>
      </w:r>
      <w:r>
        <w:t xml:space="preserve">Si la revista las pide: «(La Paz, 1917-2004)», según la ficha de autoridad de la Biblioteca Nacional de Francia.</w:t>
      </w:r>
    </w:p>
    <w:bookmarkEnd w:id="12"/>
    <w:bookmarkStart w:id="13" w:name="dónde-está-el-detalle"/>
    <w:p>
      <w:pPr>
        <w:pStyle w:val="Heading2"/>
      </w:pPr>
      <w:r>
        <w:t xml:space="preserve">Dónde está el detalle</w:t>
      </w:r>
    </w:p>
    <w:p>
      <w:pPr>
        <w:pStyle w:val="FirstParagraph"/>
      </w:pPr>
      <w:r>
        <w:t xml:space="preserve">El registro completo, con el identificador de cada canal y de cada bloque, lo que falló y cómo se resolvió, está en</w:t>
      </w:r>
      <w:r>
        <w:t xml:space="preserve"> </w:t>
      </w:r>
      <w:r>
        <w:rPr>
          <w:rStyle w:val="VerbatimChar"/>
        </w:rPr>
        <w:t xml:space="preserve">analisis/29_atlas_arena.md</w:t>
      </w:r>
      <w:r>
        <w:t xml:space="preserve">.</w:t>
      </w:r>
    </w:p>
    <w:bookmarkEnd w:id="13"/>
    <w:bookmarkEnd w:id="14"/>
    <w:sectPr>
      <w:footerReference w:type="default" r:id="rId9"/>
      <w:footnotePr>
        <w:numRestart w:val="eachSect"/>
      </w:footnotePr>
      <w:pgSz w:w="12240" w:h="15840"/>
      <w:pgMar w:left="1417" w:right="1417" w:top="1417" w:bottom="1417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B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76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20" w:before="0" w:line="276" w:lineRule="auto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76" w:lineRule="auto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40" w:before="0" w:line="276" w:lineRule="auto"/>
    </w:pPr>
    <w:rPr>
      <w:rFonts w:ascii="Times New Roman" w:cs="Times New Roman" w:eastAsia="Times New Roman" w:hAnsi="Times New Roman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20" w:before="0" w:line="240" w:lineRule="auto"/>
      <w:contextualSpacing/>
      <w:jc w:val="center"/>
    </w:pPr>
    <w:rPr>
      <w:rFonts w:ascii="Times New Roman" w:cs="Times New Roman" w:eastAsia="Times New Roman" w:hAnsi="Times New Roman"/>
      <w:b/>
      <w:i w:val="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0" w:line="240" w:lineRule="auto"/>
      <w:outlineLvl w:val="0"/>
    </w:pPr>
    <w:rPr>
      <w:rFonts w:ascii="Times New Roman" w:cs="Times New Roman" w:eastAsia="Times New Roman" w:hAnsi="Times New Roman"/>
      <w:b/>
      <w:i w:val="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 w:line="240" w:lineRule="auto"/>
      <w:outlineLvl w:val="1"/>
    </w:pPr>
    <w:rPr>
      <w:rFonts w:ascii="Times New Roman" w:cs="Times New Roman" w:eastAsia="Times New Roman" w:hAnsi="Times New Roman"/>
      <w:b/>
      <w:i w:val="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 w:line="240" w:lineRule="auto"/>
      <w:outlineLvl w:val="2"/>
    </w:pPr>
    <w:rPr>
      <w:rFonts w:ascii="Times New Roman" w:cs="Times New Roman" w:eastAsia="Times New Roman" w:hAnsi="Times New Roman"/>
      <w:b/>
      <w:i w:val="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160" w:line="240" w:lineRule="auto"/>
      <w:outlineLvl w:val="3"/>
    </w:pPr>
    <w:rPr>
      <w:rFonts w:ascii="Times New Roman" w:cs="Times New Roman" w:eastAsia="Times New Roman" w:hAnsi="Times New Roman"/>
      <w:b/>
      <w:i w:val="0"/>
      <w:iCs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80" w:line="264" w:lineRule="auto"/>
      <w:ind w:firstLine="0" w:left="567" w:right="283"/>
    </w:pPr>
    <w:rPr>
      <w:rFonts w:ascii="Times New Roman" w:cs="Times New Roman" w:eastAsia="Times New Roman" w:hAnsi="Times New Roman"/>
      <w:i w:val="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after="120" w:before="0" w:line="276" w:lineRule="auto"/>
    </w:pPr>
    <w:rPr>
      <w:rFonts w:ascii="Times New Roman" w:cs="Times New Roman" w:eastAsia="Times New Roman" w:hAnsi="Times New Roman"/>
      <w:sz w:val="22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120" w:before="0" w:line="276" w:lineRule="auto"/>
    </w:pPr>
    <w:rPr>
      <w:rFonts w:ascii="Times New Roman" w:cs="Times New Roman" w:eastAsia="Times New Roman" w:hAnsi="Times New Roman"/>
      <w:b/>
      <w:sz w:val="22"/>
    </w:rPr>
  </w:style>
  <w:style w:customStyle="1" w:styleId="Definition" w:type="paragraph">
    <w:name w:val="Definition"/>
    <w:basedOn w:val="Normal"/>
    <w:pPr>
      <w:spacing w:after="120" w:before="0" w:line="276" w:lineRule="auto"/>
    </w:pPr>
    <w:rPr>
      <w:rFonts w:ascii="Times New Roman" w:cs="Times New Roman" w:eastAsia="Times New Roman" w:hAnsi="Times New Roman"/>
      <w:sz w:val="22"/>
    </w:rPr>
  </w:style>
  <w:style w:styleId="Caption" w:type="paragraph">
    <w:name w:val="Caption"/>
    <w:basedOn w:val="Normal"/>
    <w:link w:val="BodyTextChar"/>
    <w:pPr>
      <w:spacing w:after="200" w:before="40" w:line="240" w:lineRule="auto"/>
      <w:jc w:val="center"/>
    </w:pPr>
    <w:rPr>
      <w:rFonts w:ascii="Times New Roman" w:cs="Times New Roman" w:eastAsia="Times New Roman" w:hAnsi="Times New Roman"/>
      <w:i/>
      <w:sz w:val="19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spacing w:after="200" w:before="40" w:line="240" w:lineRule="auto"/>
      <w:jc w:val="center"/>
    </w:pPr>
    <w:rPr>
      <w:rFonts w:ascii="Times New Roman" w:cs="Times New Roman" w:eastAsia="Times New Roman" w:hAnsi="Times New Roman"/>
      <w:i/>
      <w:sz w:val="19"/>
    </w:rPr>
  </w:style>
  <w:style w:customStyle="1" w:styleId="Figure" w:type="paragraph">
    <w:name w:val="Figure"/>
    <w:basedOn w:val="Normal"/>
    <w:pPr>
      <w:keepNext/>
      <w:jc w:val="center"/>
    </w:pPr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de arena</dc:title>
  <dc:creator>Joaquin Max Cuevas Ventura</dc:creator>
  <dc:language>es-BO</dc:language>
  <cp:keywords/>
  <dcterms:created xsi:type="dcterms:W3CDTF">2026-10-11T20:41:15Z</dcterms:created>
  <dcterms:modified xsi:type="dcterms:W3CDTF">2026-10-11T20:41:15Z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