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parte de tres premisas. En</w:t>
      </w:r>
      <w:r>
        <w:t xml:space="preserve"> </w:t>
      </w:r>
      <w:r>
        <w:rPr>
          <w:i/>
          <w:iCs/>
        </w:rPr>
        <w:t xml:space="preserve">Altiplano</w:t>
      </w:r>
      <w:r>
        <w:t xml:space="preserve">, el saber sobre el espacio es material: piedra, adobe, paja y papel. El dibujo, que obliga a decidir punto de vista, escala y límite, deja a la vista las categorías que el lector proyecta. Y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(ibid.: 65).</w:t>
      </w:r>
    </w:p>
    <w:p>
      <w:pPr>
        <w:pStyle w:val="Figura"/>
      </w:pPr>
      <w:r>
        <w:drawing>
          <wp:inline>
            <wp:extent cx="5039999" cy="3383999"/>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El narrador tampoco le ve cuartos: «Las chujllas no tienen cuartos ni mucho menos» (ibid.: 30). Pero los Huanca viven en «tres chujllas de adobe y paja brava que rodean al patio» (ibid.): los cuartos son las chujllas. Para Christopher Alexander, todos los patrones de una casa caben, superpuestos, «en una simple cabaña de una sola habitación» (Alexander et al., 1977: xliii). Donde el narrador ve una madriguera, él vería una casa comprimida.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3599999"/>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39999" cy="575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9"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El Signo Escalonado se rehace sin su último escalón. Una pirca de doble cara enseña lo que esa memoria olvida: las piedras grandes dan la cara, pero adentro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7" name="Picture"/>
            <a:graphic>
              <a:graphicData uri="http://schemas.openxmlformats.org/drawingml/2006/picture">
                <pic:pic>
                  <pic:nvPicPr>
                    <pic:cNvPr descr="figuras/figura_7.png" id="38" name="Picture"/>
                    <pic:cNvPicPr>
                      <a:picLocks noChangeArrowheads="1" noChangeAspect="1"/>
                    </pic:cNvPicPr>
                  </pic:nvPicPr>
                  <pic:blipFill>
                    <a:blip r:embed="rId36"/>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9"/>
    <w:bookmarkStart w:id="43"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1" name="Picture"/>
            <a:graphic>
              <a:graphicData uri="http://schemas.openxmlformats.org/drawingml/2006/picture">
                <pic:pic>
                  <pic:nvPicPr>
                    <pic:cNvPr descr="figuras/figura_8.png" id="42" name="Picture"/>
                    <pic:cNvPicPr>
                      <a:picLocks noChangeArrowheads="1" noChangeAspect="1"/>
                    </pic:cNvPicPr>
                  </pic:nvPicPr>
                  <pic:blipFill>
                    <a:blip r:embed="rId40"/>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Alexander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3"/>
    <w:bookmarkStart w:id="44"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4"/>
    <w:bookmarkStart w:id="45" w:name="bibliografía"/>
    <w:p>
      <w:pPr>
        <w:pStyle w:val="Heading2"/>
      </w:pPr>
      <w:r>
        <w:t xml:space="preserve">Bibliografía</w:t>
      </w:r>
    </w:p>
    <w:p>
      <w:pPr>
        <w:pStyle w:val="FirstParagraph"/>
      </w:pPr>
      <w:r>
        <w:t xml:space="preserve">Alexander, Christopher; Ishikawa, Sara y Silverstein, Murray (1977).</w:t>
      </w:r>
      <w:r>
        <w:t xml:space="preserve"> </w:t>
      </w:r>
      <w:r>
        <w:rPr>
          <w:i/>
          <w:iCs/>
        </w:rPr>
        <w:t xml:space="preserve">A Pattern Language. Towns, Buildings, Construction</w:t>
      </w:r>
      <w:r>
        <w:t xml:space="preserve">. Nueva York: Oxford University Press.</w:t>
      </w:r>
    </w:p>
    <w:p>
      <w:pPr>
        <w:pStyle w:val="BodyText"/>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5"/>
    <w:bookmarkEnd w:id="46"/>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2026-10-10T12:30:39Z</dcterms:created>
  <dcterms:modified xsi:type="dcterms:W3CDTF">2026-10-10T12:30:39Z</dcterms:modified>
</cp:coreProperties>
</file>

<file path=docProps/custom.xml><?xml version="1.0" encoding="utf-8"?>
<Properties xmlns="http://schemas.openxmlformats.org/officeDocument/2006/custom-properties" xmlns:vt="http://schemas.openxmlformats.org/officeDocument/2006/docPropsVTypes"/>
</file>