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lineRule="auto" w:line="360" w:before="240" w:after="120"/>
        <w:rPr/>
      </w:pPr>
      <w:bookmarkStart w:id="0" w:name="X283b9038d5fc7da7cd10d4024bb014ac454e9d4"/>
      <w:r>
        <w:rPr/>
        <w:t xml:space="preserve">Cosecha de piedras: el ayllu, el Estado y la mina. Dibujando </w:t>
      </w:r>
      <w:r>
        <w:rPr>
          <w:i/>
          <w:iCs/>
        </w:rPr>
        <w:t>Altiplano</w:t>
      </w:r>
      <w:r>
        <w:rPr/>
        <w:t xml:space="preserve"> de Raúl Botelho Gosálvez</w:t>
      </w:r>
    </w:p>
    <w:p>
      <w:pPr>
        <w:pStyle w:val="FirstParagraph"/>
        <w:rPr/>
      </w:pPr>
      <w:r>
        <w:rPr>
          <w:b/>
          <w:bCs/>
        </w:rPr>
        <w:t xml:space="preserve">Harvest of Stones: The Ayllu, the State and the Mine. Drawing Raúl Botelho Gosálvez’s </w:t>
      </w:r>
      <w:r>
        <w:rPr>
          <w:b/>
          <w:bCs/>
          <w:i/>
          <w:iCs/>
        </w:rPr>
        <w:t>Altiplano</w:t>
      </w:r>
    </w:p>
    <w:p>
      <w:pPr>
        <w:pStyle w:val="BodyText"/>
        <w:rPr/>
      </w:pPr>
      <w:r>
        <w:rPr/>
        <w:t>Joaquin Max Cuevas Ventura</w:t>
      </w:r>
      <w:r>
        <w:rPr>
          <w:rStyle w:val="FootnoteReference"/>
        </w:rPr>
        <w:footnoteReference w:id="2"/>
      </w:r>
    </w:p>
    <w:p>
      <w:pPr>
        <w:pStyle w:val="BodyText"/>
        <w:rPr/>
      </w:pPr>
      <w:r>
        <w:rPr>
          <w:b/>
          <w:bCs/>
        </w:rPr>
        <w:t>Resumen</w:t>
      </w:r>
    </w:p>
    <w:p>
      <w:pPr>
        <w:pStyle w:val="BodyText"/>
        <w:rPr/>
      </w:pPr>
      <w:r>
        <w:rPr/>
        <w:t xml:space="preserve">El artículo lee </w:t>
      </w:r>
      <w:r>
        <w:rPr>
          <w:i/>
          <w:iCs/>
        </w:rPr>
        <w:t>Altiplano</w:t>
      </w:r>
      <w:r>
        <w:rPr/>
        <w:t xml:space="preserve"> (1945),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rPr/>
      </w:pPr>
      <w:r>
        <w:rPr>
          <w:b/>
          <w:bCs/>
        </w:rPr>
        <w:t>Palabras clave:</w:t>
      </w:r>
      <w:r>
        <w:rPr/>
        <w:t xml:space="preserve"> Botelho Gosálvez; ayllu; despojo; manuaje; dibujo como investigación.</w:t>
      </w:r>
    </w:p>
    <w:p>
      <w:pPr>
        <w:pStyle w:val="BodyText"/>
        <w:rPr/>
      </w:pPr>
      <w:r>
        <w:rPr>
          <w:b/>
          <w:bCs/>
        </w:rPr>
        <w:t>Abstract</w:t>
      </w:r>
    </w:p>
    <w:p>
      <w:pPr>
        <w:pStyle w:val="BodyText"/>
        <w:rPr/>
      </w:pPr>
      <w:r>
        <w:rPr/>
        <w:t xml:space="preserve">This article reads </w:t>
      </w:r>
      <w:r>
        <w:rPr>
          <w:i/>
          <w:iCs/>
        </w:rPr>
        <w:t>Altiplano</w:t>
      </w:r>
      <w:r>
        <w:rPr/>
        <w:t xml:space="preserve"> (1945),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rPr/>
      </w:pPr>
      <w:r>
        <w:rPr>
          <w:b/>
          <w:bCs/>
        </w:rPr>
        <w:t>Keywords:</w:t>
      </w:r>
      <w:r>
        <w:rPr/>
        <w:t xml:space="preserve"> Botelho Gosálvez; ayllu; dispossession; manuage; drawing as research.</w:t>
      </w:r>
    </w:p>
    <w:p>
      <w:pPr>
        <w:pStyle w:val="Epgrafe"/>
        <w:rPr/>
      </w:pPr>
      <w:r>
        <w:rPr/>
        <w:t>«Mirando al pasado para caminar por el presente y el futuro (</w:t>
      </w:r>
      <w:r>
        <w:rPr>
          <w:i/>
          <w:iCs/>
        </w:rPr>
        <w:t>qhip nayr uñtasis sarnaqapxañani</w:t>
      </w:r>
      <w:r>
        <w:rPr/>
        <w:t>)».</w:t>
      </w:r>
    </w:p>
    <w:p>
      <w:pPr>
        <w:pStyle w:val="Epgrafe"/>
        <w:rPr/>
      </w:pPr>
      <w:r>
        <w:rPr/>
        <w:t>Lema del Taller de Historia Oral Andina (Rivera Cusicanqui, 2010 [1984]: 17)</w:t>
      </w:r>
    </w:p>
    <w:p>
      <w:pPr>
        <w:pStyle w:val="Heading2"/>
        <w:rPr/>
      </w:pPr>
      <w:bookmarkStart w:id="1" w:name="introducción-una-cosecha-de-piedras"/>
      <w:r>
        <w:rPr/>
        <w:t>1. Introducción: una cosecha de piedras</w:t>
      </w:r>
    </w:p>
    <w:p>
      <w:pPr>
        <w:pStyle w:val="FirstParagraph"/>
        <w:rPr/>
      </w:pPr>
      <w:r>
        <w:rPr/>
        <w:t>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rPr/>
      </w:pPr>
      <w:r>
        <w:rPr/>
        <w:t>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rPr/>
      </w:pPr>
      <w:r>
        <w:rPr/>
        <w:t xml:space="preserve">La escena encierra una paradoja: lo que se cosecha es el obstáculo, y la tierra </w:t>
      </w:r>
      <w:r>
        <w:rPr>
          <w:i/>
          <w:iCs/>
        </w:rPr>
        <w:t>pare</w:t>
      </w:r>
      <w:r>
        <w:rPr/>
        <w:t xml:space="preserve"> 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 </w:t>
      </w:r>
      <w:r>
        <w:rPr>
          <w:i/>
          <w:iCs/>
        </w:rPr>
        <w:t>Altiplano</w:t>
      </w:r>
      <w:r>
        <w:rPr/>
        <w:t>, aquella en la que habitar y enterrar casi no se distinguen. Como observa Tim Ingold, el montón «no se construye: crece» (Ingold, 2013: 78)</w:t>
      </w:r>
      <w:r>
        <w:rPr>
          <w:rStyle w:val="FootnoteReference"/>
        </w:rPr>
        <w:footnoteReference w:id="3"/>
      </w:r>
      <w:r>
        <w:rPr/>
        <w:t>; en Jatun-Kolla, crece con cada cosecha.</w:t>
      </w:r>
    </w:p>
    <w:p>
      <w:pPr>
        <w:pStyle w:val="BodyText"/>
        <w:rPr/>
      </w:pPr>
      <w:r>
        <w:rPr/>
        <w:t xml:space="preserve">El aymara colonial tenía palabras para todo esto. El vocabulario que el jesuita Ludovico Bertonio publicó en 1612 registra un verbo para la faena, </w:t>
      </w:r>
      <w:r>
        <w:rPr>
          <w:i/>
          <w:iCs/>
        </w:rPr>
        <w:t>wanqathapiña</w:t>
      </w:r>
      <w:r>
        <w:rPr/>
        <w:t xml:space="preserve">, «amontonar piedras sacándolas» (Bertonio, 2011 [1612]: 77), y un solo nombre, </w:t>
      </w:r>
      <w:r>
        <w:rPr>
          <w:i/>
          <w:iCs/>
        </w:rPr>
        <w:t>chhaxwa</w:t>
      </w:r>
      <w:r>
        <w:rPr/>
        <w:t>, para las piedras «que amontonan limpiando las chácaras» y para la piedra «hincada en la pared para atar en ella los palos del techo» (ibid.: 330). Que la faena tenga verbo importa: para Juhani Pallasmaa, «las experiencias arquitectónicas básicas tienen carácter de verbos más que de sustantivos» (Pallasmaa, 2014</w:t>
      </w:r>
      <w:ins w:id="0" w:author="Unknown Author" w:date="2026-10-11T14:16:58Z">
        <w:r>
          <w:rPr/>
          <w:t xml:space="preserve"> [2011]</w:t>
        </w:r>
      </w:ins>
      <w:r>
        <w:rPr/>
        <w:t xml:space="preserve">: 158). Kenneth Frampton distingue la masa formada por «apilamiento repetitivo de elementos pesados», «ya sea piedra o adobe», del armazón que ensambla «componentes ligeros y lineales» (Frampton, 1995: 5): la estereotomía y la tectónica. El montón es masa sin edificio, y </w:t>
      </w:r>
      <w:r>
        <w:rPr>
          <w:i/>
          <w:iCs/>
        </w:rPr>
        <w:t>chhaxwa</w:t>
      </w:r>
      <w:r>
        <w:rPr/>
        <w:t xml:space="preserve"> nombra el punto exacto donde la masa y el armazón se tocan. Esa tensión entre la piedra que pesa y la madera que ata recorre la novela, de la chujlla a la mina.</w:t>
      </w:r>
    </w:p>
    <w:p>
      <w:pPr>
        <w:pStyle w:val="BodyText"/>
        <w:rPr/>
      </w:pPr>
      <w:r>
        <w:rPr/>
        <w:t xml:space="preserve">Este artículo hace dos preguntas. ¿Qué sabe </w:t>
      </w:r>
      <w:r>
        <w:rPr>
          <w:i/>
          <w:iCs/>
        </w:rPr>
        <w:t>Altiplano</w:t>
      </w:r>
      <w:r>
        <w:rPr/>
        <w:t xml:space="preserve"> sobre el habitar cuando se la lee siguiendo sus piedras? ¿Y qué añade a esa lectura un dibujo hecho con una materia, el pastel al óleo, que trabaja como el comunario, sumando y quitando?</w:t>
      </w:r>
      <w:r>
        <w:rPr>
          <w:rStyle w:val="FootnoteReference"/>
        </w:rPr>
        <w:footnoteReference w:id="4"/>
      </w:r>
      <w:r>
        <w:rPr/>
        <w:t xml:space="preserve"> Nuestra respuesta es que la novela registra, a espaldas de su narrador, la mecánica material del despojo: cómo se pierde la tierra, con qué objetos y con qué gestos. Leer así se parece al esgrafiado: se raspa la capa del narrador para que aparezca la de abajo. Fernando Freitas Fuão, arquitecto que ha pensado la collage, cita al poeta checo Jiří Kolář: «En la vida nos cubrimos con una acumulación de papeles invisibles, donde cada capa nos hace olvidar la anterior» (Fuão, 2011: 43). El argumento cabe en tres materiales. El ayllu marca su tierra con piedras: despeja, amontona, cerca y amojona. En la aldea, el Estado la reescribe con papeles: títulos, expedientes, ordenanzas. La mina convierte el mismo gesto en mercancía con máquinas. Como en el juego de piedra, papel o tijera, el papel le gana a la piedra por regla, no por peso: ante la ley, un mojón no vale lo que un título. Fuão cuenta esa sucesión como una historia de los fragmentos: para los románticos, los fragmentos «estaban hechos básicamente de piedra» y miraban al pasado, a las ruinas; para los modernos son los del cotidiano: los «engranajes», las «reproducciones mecánicas», los «papeles» (ibid.: 14). En Jatun-Kolla, en cambio, la piedra no es ruina, sino posesión presente. El dibujo, al repetir las operaciones de la novela con otra materia, obliga a decidir lo que el texto deja abierto y deja ver lo que el narrador impone.</w:t>
      </w:r>
    </w:p>
    <w:p>
      <w:pPr>
        <w:pStyle w:val="BodyText"/>
        <w:rPr/>
      </w:pPr>
      <w:r>
        <w:rP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Antonio Cornejo Polar mostró que el narrador indigenista, «ajeno al mundo indio aunque se solidarice con él», imagina esa vida «más en términos de naturaleza que de historia» (Cornejo Polar, 2003 [1994]: 180). El de </w:t>
      </w:r>
      <w:r>
        <w:rPr>
          <w:i/>
          <w:iCs/>
        </w:rPr>
        <w:t>Altiplano</w:t>
      </w:r>
      <w:r>
        <w:rPr/>
        <w:t xml:space="preserve"> 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rPr/>
      </w:pPr>
      <w:r>
        <w:rPr/>
        <w:t xml:space="preserve">La lectura parte de tres premisas. En </w:t>
      </w:r>
      <w:r>
        <w:rPr>
          <w:i/>
          <w:iCs/>
        </w:rPr>
        <w:t>Altiplano</w:t>
      </w:r>
      <w:r>
        <w:rPr/>
        <w:t xml:space="preserve">, el saber sobre el espacio es material: piedra, adobe, paja y papel. El dibujo, que obliga a decidir punto de vista, escala y límite, deja a la vista las categorías que el lector proyecta. Y si dibujar es, como propone Mauricio Cárcamo Pino, un </w:t>
      </w:r>
      <w:r>
        <w:rPr>
          <w:i/>
          <w:iCs/>
        </w:rPr>
        <w:t>manuaje</w:t>
      </w:r>
      <w:r>
        <w:rPr/>
        <w:t>,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bookmarkEnd w:id="1"/>
    </w:p>
    <w:p>
      <w:pPr>
        <w:pStyle w:val="Heading2"/>
        <w:rPr/>
      </w:pPr>
      <w:bookmarkStart w:id="2" w:name="X92427c7b6fba06e7fef4b61070b9c7628a70d2e"/>
      <w:r>
        <w:rPr/>
        <w:t>2. Cómo leer: el espacio, las manos y el dibujo (marco teórico y método)</w:t>
      </w:r>
    </w:p>
    <w:p>
      <w:pPr>
        <w:pStyle w:val="FirstParagraph"/>
        <w:rPr/>
      </w:pPr>
      <w:r>
        <w:rPr/>
        <w:t>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w:t>
      </w:r>
      <w:ins w:id="1" w:author="Unknown Author" w:date="2026-10-11T14:16:58Z">
        <w:r>
          <w:rPr/>
          <w:t xml:space="preserve"> [1966]</w:t>
        </w:r>
      </w:ins>
      <w:r>
        <w:rPr/>
        <w:t>: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rPr/>
      </w:pPr>
      <w:r>
        <w:rP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Es decir: para la primera, la tierra reúne lugares a distintas alturas que se trabajan juntos, como la puna y el valle; para la segunda, un terreno cercado que se hereda por apellido. </w:t>
      </w:r>
      <w:r>
        <w:rPr>
          <w:i/>
          <w:iCs/>
        </w:rPr>
        <w:t>Altiplano</w:t>
      </w:r>
      <w:r>
        <w:rPr/>
        <w:t xml:space="preserve"> muestra las dos, y cómo la segunda gana terreno.</w:t>
      </w:r>
    </w:p>
    <w:p>
      <w:pPr>
        <w:pStyle w:val="BodyText"/>
        <w:rPr/>
      </w:pPr>
      <w:r>
        <w:rPr/>
        <w:t xml:space="preserve">Tampoco la piedra andina es la piedra del narrador. En el aymara de Bertonio, </w:t>
      </w:r>
      <w:r>
        <w:rPr>
          <w:i/>
          <w:iCs/>
        </w:rPr>
        <w:t>wanqa</w:t>
      </w:r>
      <w:r>
        <w:rPr/>
        <w:t xml:space="preserve"> es solo «piedra muy grande» (Bertonio, 2011 [1612]: 506). Pero Pierre Duviols advierte que los diccionarios callan el «contenido religioso» que dejan ver los juicios coloniales contra la idolatría. Allí, el </w:t>
      </w:r>
      <w:r>
        <w:rPr>
          <w:i/>
          <w:iCs/>
        </w:rPr>
        <w:t>huanca</w:t>
      </w:r>
      <w:r>
        <w:rPr/>
        <w:t xml:space="preserve"> era «el doble mineral del cadáver sagrado» (Duviols, 1979: 8), una piedra que recordaba «al Huari que primero amojonó tal campo, al que lo cercó, al que lo desbrozó» (ibid.: 13). </w:t>
      </w:r>
      <w:r>
        <w:rPr>
          <w:i/>
          <w:iCs/>
        </w:rPr>
        <w:t>Huanca</w:t>
      </w:r>
      <w:r>
        <w:rPr/>
        <w:t xml:space="preserve">, grafía colonial de </w:t>
      </w:r>
      <w:r>
        <w:rPr>
          <w:i/>
          <w:iCs/>
        </w:rPr>
        <w:t>wank’a</w:t>
      </w:r>
      <w:r>
        <w:rP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 </w:t>
      </w:r>
      <w:r>
        <w:rPr>
          <w:i/>
          <w:iCs/>
        </w:rPr>
        <w:t>wank’a</w:t>
      </w:r>
      <w:r>
        <w:rPr/>
        <w:t xml:space="preserve"> es una piedra con dueño y con lugar; la del narrador, una abstracción.</w:t>
      </w:r>
      <w:ins w:id="2" w:author="Unknown Author" w:date="2026-10-11T14:16:58Z">
        <w:r>
          <w:rPr/>
          <w:t xml:space="preserve"> Y, como muestra Carolyn Dean para los incas, volverse piedra no era morir: «la petrificación señalaba la suspensión, pero no el fin, de la vida» (Dean, 2010: 5).</w:t>
        </w:r>
      </w:ins>
    </w:p>
    <w:p>
      <w:pPr>
        <w:pStyle w:val="BodyText"/>
        <w:rPr/>
      </w:pPr>
      <w:r>
        <w:rPr/>
        <w:t>¿Con qué leer, entonces? Con las manos. De las imágenes de la materia, Gaston Bachelard escribió: «La vista las nombra, pero la mano las conoce» (Bachelard, 1978 [1942]: 7-8, cit. en Pallasmaa, 2014</w:t>
      </w:r>
      <w:ins w:id="3" w:author="Unknown Author" w:date="2026-10-11T14:16:58Z">
        <w:r>
          <w:rPr/>
          <w:t xml:space="preserve"> [2011]</w:t>
        </w:r>
      </w:ins>
      <w:r>
        <w:rPr/>
        <w:t xml:space="preserve">: 53). En </w:t>
      </w:r>
      <w:r>
        <w:rPr>
          <w:i/>
          <w:iCs/>
        </w:rPr>
        <w:t>Altiplano</w:t>
      </w:r>
      <w:r>
        <w:rPr/>
        <w:t xml:space="preserve">, el narrador nombra; el comunario, que despeja y amontona, conoce. Cárcamo Pino llama </w:t>
      </w:r>
      <w:r>
        <w:rPr>
          <w:i/>
          <w:iCs/>
        </w:rPr>
        <w:t>manuaje</w:t>
      </w:r>
      <w:r>
        <w:rPr/>
        <w:t xml:space="preserve"> a lo que hacen las manos cuando piensan, expresan o comunican: un «neologismo homólogo al lenguaje, pero con las manos» (Cárcamo Pino, 2019: 1412, cit. en Cárcamo Pino, 2025b: 244). Escribir es una de esas acciones. Cárcamo Pino recuerda que la misma mano hace dos agarres: el de fuerza, como al tomar un martillo, y el de precisión, como al «sujetar un papel con dos yemas dactilares» (Cárcamo Pino, 2025a: 10).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rPr/>
      </w:pPr>
      <w:r>
        <w:rP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 </w:t>
      </w:r>
      <w:r>
        <w:rPr>
          <w:i/>
          <w:iCs/>
        </w:rPr>
        <w:t>kuraka</w:t>
      </w:r>
      <w:r>
        <w:rPr/>
        <w:t xml:space="preserve"> de Achacachi sostenían escuelas propias ya en 1929 (Barnadas, 1978 [1975]: 84). La pregunta no es si la mano o el papel, sino qué prácticas se autorizan y cuáles quedaron «minusvaloradas, invisibilizadas» por el «monopolio de la escritura y el lenguaje» (Cárcamo Pino, 2025b: 259). Los arquitectos Xavier Monteys y Pere Fuertes reconocen ese saber en quienes habitan las casas: su acción sobre la arquitectura, «lenta y sistemática», expresa «una opinión no escrita pero de innegable valor» (Monteys y Fuertes, 2001: 26).</w:t>
      </w:r>
    </w:p>
    <w:p>
      <w:pPr>
        <w:pStyle w:val="BodyText"/>
        <w:rPr>
          <w:ins w:id="13" w:author="Unknown Author" w:date="2026-10-11T14:16:58Z"/>
        </w:rPr>
      </w:pPr>
      <w:ins w:id="4" w:author="Unknown Author" w:date="2026-10-11T14:16:58Z">
        <w:r>
          <w:rPr/>
          <w:t xml:space="preserve">La palabra </w:t>
        </w:r>
      </w:ins>
      <w:ins w:id="5" w:author="Unknown Author" w:date="2026-10-11T14:16:58Z">
        <w:r>
          <w:rPr>
            <w:i/>
            <w:iCs/>
          </w:rPr>
          <w:t>manuaje</w:t>
        </w:r>
      </w:ins>
      <w:ins w:id="6" w:author="Unknown Author" w:date="2026-10-11T14:16:58Z">
        <w:r>
          <w:rPr/>
          <w:t xml:space="preserve"> tiene antecedentes, que Cárcamo Pino repasa. Uno es el de Randall McLeod, que llamó </w:t>
        </w:r>
      </w:ins>
      <w:ins w:id="7" w:author="Unknown Author" w:date="2026-10-11T14:16:58Z">
        <w:r>
          <w:rPr>
            <w:i/>
            <w:iCs/>
          </w:rPr>
          <w:t>manuage</w:t>
        </w:r>
      </w:ins>
      <w:ins w:id="8" w:author="Unknown Author" w:date="2026-10-11T14:16:58Z">
        <w:r>
          <w:rPr/>
          <w:t xml:space="preserve"> al idioma de los </w:t>
        </w:r>
      </w:ins>
      <w:ins w:id="9" w:author="Unknown Author" w:date="2026-10-11T14:16:58Z">
        <w:r>
          <w:rPr>
            <w:i/>
            <w:iCs/>
          </w:rPr>
          <w:t>choughs</w:t>
        </w:r>
      </w:ins>
      <w:ins w:id="10" w:author="Unknown Author" w:date="2026-10-11T14:16:58Z">
        <w:r>
          <w:rPr/>
          <w:t xml:space="preserve"> en </w:t>
        </w:r>
      </w:ins>
      <w:ins w:id="11" w:author="Unknown Author" w:date="2026-10-11T14:16:58Z">
        <w:r>
          <w:rPr>
            <w:i/>
            <w:iCs/>
          </w:rPr>
          <w:t>All’s Well That Ends Well</w:t>
        </w:r>
      </w:ins>
      <w:ins w:id="12" w:author="Unknown Author" w:date="2026-10-11T14:16:58Z">
        <w:r>
          <w:rPr/>
          <w:t>, de Shakespeare: un idioma «inventado in situ por los personajes» y hecho «con la mano de Shakespeare, no con la boca» (Cárcamo Pino, 2025b: 241-242). La banda The Voidz, de Julian Casablancas, lleva la idea al extremo en el título de una canción: «All Wordz Are Made Up», todas las palabras son inventadas (The Voidz, 2018). Inventar no es mentir, es hacer. Hechas fueron la ordenanza del doctor Mendoza y la genealogía imperial que se atribuyen los Villca, y también los títulos coloniales que las comunidades desenterraron para litigar (Rivera Cusicanqui, 2010 [1984]: 99). Lo que las separa no es que unas palabras sean inventadas y otras no, sino quién logra que las suyas valgan como ley.</w:t>
        </w:r>
      </w:ins>
    </w:p>
    <w:p>
      <w:pPr>
        <w:pStyle w:val="BodyText"/>
        <w:rPr/>
      </w:pPr>
      <w:r>
        <w:rPr/>
        <w:t>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 Se parecen también a los dibujos que, según cuentan Monteys y Fuertes, hizo Gordon Cullen para los edificios de Berthold Lubetkin: no servían para medir, sino que «mostraban cómo construir, montar o incluso reparar», e incluían «personas haciendo cosas» (Monteys y Fuertes, 2001: 128, 132). Por eso cada esquema anota, junto al trazo, lo que hace la mano.</w:t>
      </w:r>
    </w:p>
    <w:p>
      <w:pPr>
        <w:pStyle w:val="BodyText"/>
        <w:rPr/>
      </w:pPr>
      <w:r>
        <w:rPr/>
        <w:t xml:space="preserve">El método sigue los cuatro pasos que Simon Lundberg propone para explorar la imagen arquitectónica: observación, disección, ensamblaje e inmersión (Lundberg, 2019: 3). La </w:t>
      </w:r>
      <w:r>
        <w:rPr>
          <w:i/>
          <w:iCs/>
        </w:rPr>
        <w:t>observación</w:t>
      </w:r>
      <w:r>
        <w:rPr/>
        <w:t xml:space="preserve"> reúne en un fichero los datos del texto, con su página. La </w:t>
      </w:r>
      <w:r>
        <w:rPr>
          <w:i/>
          <w:iCs/>
        </w:rPr>
        <w:t>disección</w:t>
      </w:r>
      <w:r>
        <w:rPr/>
        <w:t xml:space="preserve"> separa las partes y las ordena según cuatro funciones constructivas: apoyo, vano, masa y límite (Cuadro 1). El </w:t>
      </w:r>
      <w:r>
        <w:rPr>
          <w:i/>
          <w:iCs/>
        </w:rPr>
        <w:t>ensamblaje</w:t>
      </w:r>
      <w:r>
        <w:rPr/>
        <w:t xml:space="preserve"> las vuelve a juntar, como el </w:t>
      </w:r>
      <w:r>
        <w:rPr>
          <w:i/>
          <w:iCs/>
        </w:rPr>
        <w:t>capriccio</w:t>
      </w:r>
      <w:r>
        <w:rPr/>
        <w:t xml:space="preserve"> de Canaletto, que reunía edificios de ciudades distintas en una ciudad «completamente imaginaria» (ibid.: 3); sus decisiones, un perfil o una analogía, son del dibujante y no cuentan como hallazgos. La </w:t>
      </w:r>
      <w:r>
        <w:rPr>
          <w:i/>
          <w:iCs/>
        </w:rPr>
        <w:t>inmersión</w:t>
      </w:r>
      <w:r>
        <w:rPr/>
        <w:t xml:space="preserve"> da atmósfera, sin confundirse «con el realismo visual» (ibid.: 21).</w:t>
      </w:r>
    </w:p>
    <w:p>
      <w:pPr>
        <w:pStyle w:val="BodyText"/>
        <w:rPr/>
      </w:pPr>
      <w:r>
        <w:rPr/>
        <w:t xml:space="preserve">El </w:t>
      </w:r>
      <w:r>
        <w:rPr>
          <w:i/>
          <w:iCs/>
        </w:rPr>
        <w:t>ensamblaje</w:t>
      </w:r>
      <w:r>
        <w:rPr/>
        <w:t xml:space="preserve"> tiene una teoría propia: la de la collage. Fuão la describe en cuatro tiempos: el recorte, los fragmentos o figuras, los encuentros y la cola. Lo decisivo no está en cortar ni en pegar, sino en el «intervalo» entre ambos, cuando las figuras recortadas se prueban unas junto a otras «antes de que la cola las fije» (Fuão, 2011: 8, 52). Allí se toman las decisiones del dibujo. Fuão pone además una condición que este trabajo adopta: se pueden juntar figuras e ideas lejanas, pero «con la condición de que haya una referencia explícita» que permita la analogía (ibid.: 53).</w:t>
      </w:r>
      <w:ins w:id="14" w:author="Unknown Author" w:date="2026-10-11T14:16:58Z">
        <w:r>
          <w:rPr>
            <w:rStyle w:val="FootnoteReference"/>
          </w:rPr>
          <w:footnoteReference w:id="5"/>
        </w:r>
      </w:ins>
      <w:r>
        <w:rPr/>
        <w:t xml:space="preserve"> Monteys y Fuertes llaman </w:t>
      </w:r>
      <w:r>
        <w:rPr>
          <w:i/>
          <w:iCs/>
        </w:rPr>
        <w:t>casa collage</w:t>
      </w:r>
      <w:r>
        <w:rPr/>
        <w:t xml:space="preserve"> a una casa hecha así, de ideas reunidas, que «no cabe en una sola casa» (Monteys y Fuertes, 2001: 12).</w:t>
      </w:r>
    </w:p>
    <w:p>
      <w:pPr>
        <w:pStyle w:val="BodyText"/>
        <w:rPr/>
      </w:pPr>
      <w:r>
        <w:rPr/>
        <w:t xml:space="preserve">El pastel conviene a esta novela porque su prosa mide el espacio con el cuerpo. En la jaula de la mina, Condori siente, «como si faltase suelo bajo sus pies», «la vertiginosa caída» (Botelho Gosálvez, 1982 [1945]: 143). Abbie Garrington llama </w:t>
      </w:r>
      <w:r>
        <w:rPr>
          <w:i/>
          <w:iCs/>
        </w:rPr>
        <w:t>háptico</w:t>
      </w:r>
      <w:r>
        <w:rPr/>
        <w:t xml:space="preserve"> a ese registro, el del tacto y el movimiento del cuerpo (Garrington, 2013: 16). A una prosa del tacto le corresponde un dibujo hecho con los dedos. Cada figura se examina en tres planos: (1) </w:t>
      </w:r>
      <w:r>
        <w:rPr>
          <w:i/>
          <w:iCs/>
        </w:rPr>
        <w:t>Texto</w:t>
      </w:r>
      <w:r>
        <w:rPr/>
        <w:t xml:space="preserve">, lo que describe la novela; (2) </w:t>
      </w:r>
      <w:r>
        <w:rPr>
          <w:i/>
          <w:iCs/>
        </w:rPr>
        <w:t>Operación</w:t>
      </w:r>
      <w:r>
        <w:rPr/>
        <w:t xml:space="preserve">, lo que hace el pastel con la materia; (3) </w:t>
      </w:r>
      <w:r>
        <w:rPr>
          <w:i/>
          <w:iCs/>
        </w:rPr>
        <w:t>Contraste</w:t>
      </w:r>
      <w:r>
        <w:rPr/>
        <w:t>, lo que el esquema obliga a decidir y el texto deja abierto o contradice, comparado, cuando se puede, con fuentes andinas.</w:t>
      </w:r>
    </w:p>
    <w:p>
      <w:pPr>
        <w:pStyle w:val="BodyText"/>
        <w:rPr/>
      </w:pPr>
      <w:r>
        <w:rPr>
          <w:b/>
          <w:bCs/>
        </w:rPr>
        <w:t>Cuadro 1.</w:t>
      </w:r>
      <w:r>
        <w:rPr/>
        <w:t xml:space="preserve"> </w:t>
      </w:r>
      <w:r>
        <w:rPr>
          <w:i/>
          <w:iCs/>
        </w:rPr>
        <w:t>Disección tectónica de las seis figuras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81"/>
        <w:gridCol w:w="1881"/>
        <w:gridCol w:w="1881"/>
        <w:gridCol w:w="1881"/>
        <w:gridCol w:w="1882"/>
      </w:tblGrid>
      <w:tr>
        <w:trPr>
          <w:tblHeader w:val="true"/>
        </w:trPr>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Figura</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Apoyo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Vano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Masa</w:t>
            </w:r>
          </w:p>
        </w:tc>
        <w:tc>
          <w:tcPr>
            <w:tcW w:w="1882"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Límite</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 Cráneo/nido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Muros de piedra del cerro (8); vigas atadas con paja (31)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puerta; el portal de la despedida (34)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Hollín, brasero, camastros de un adobe (30-31)</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Techo de paja con cruz y huaca (10)</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 Signo Escalonado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Peones que sostienen a los Villca (21)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Quienes «no tienen historia» (22)</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Tierras de los Villca (20)</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Estacas, mojones, títulos (9, 20, 36-37)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 Apacheta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Paulo, «gallardete clavado»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«Fauces del abismo»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Cumbres «góticas», niebla (109)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«Muralla que condena el horizonte» (108)</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 Castillete</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Callapos; viga que se quiebra (145, 154)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Pique, nichos, jaula, boquete (141-144)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Agua, cascotes, montón (144, 154)</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Rejilla; agua sobre el cuerpo (143-153)</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 Pelvis telúrica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Cadera del ganado (64)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Vertientes secas (58)</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 agrietada (56)</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Cielo sin pincelada (57)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 Centinela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Cayado; vara de Jilakata (73, 75)</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Puertas batidas (79)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Chujlla de los Villca (79)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Mirada sobre la inmensidad (80)</w:t>
            </w:r>
          </w:p>
        </w:tc>
      </w:tr>
    </w:tbl>
    <w:p>
      <w:pPr>
        <w:pStyle w:val="BodyText"/>
        <w:rPr/>
      </w:pPr>
      <w:bookmarkStart w:id="3" w:name="X92427c7b6fba06e7fef4b61070b9c7628a70d2e"/>
      <w:r>
        <w:rPr/>
        <w:t>Fuente: elaboración propia a partir de Botelho Gosálvez (1982 [1945]); entre paréntesis, páginas de la novela.</w:t>
      </w:r>
      <w:bookmarkEnd w:id="3"/>
    </w:p>
    <w:p>
      <w:pPr>
        <w:pStyle w:val="Heading2"/>
        <w:rPr/>
      </w:pPr>
      <w:bookmarkStart w:id="4" w:name="X2ca922873cfceb7333a31b77617b9aa1ee4c107"/>
      <w:r>
        <w:rPr/>
        <w:t>3. La chujlla: una casa a la medida del cuerpo</w:t>
      </w:r>
    </w:p>
    <w:p>
      <w:pPr>
        <w:pStyle w:val="FirstParagraph"/>
        <w:rPr/>
      </w:pPr>
      <w:r>
        <w:rPr/>
        <w:t xml:space="preserve">El narrador presenta el ayllu desde lo alto, como en un plano de situación: «las chujllas de las familias más antiguas han trepado en los riscos del cerro y desde allí parecen ocupar un sitio de preeminencia sobre el resto de chozas» (Botelho Gosálvez, 1982 [1945]: 6). La palabra clave es </w:t>
      </w:r>
      <w:r>
        <w:rPr>
          <w:i/>
          <w:iCs/>
        </w:rPr>
        <w:t>parecen</w:t>
      </w:r>
      <w:r>
        <w:rPr/>
        <w:t>: la jerarquía es una lectura del narrador sobre la pendiente, no un dato de la pendiente.</w:t>
      </w:r>
    </w:p>
    <w:p>
      <w:pPr>
        <w:pStyle w:val="BodyText"/>
        <w:rPr/>
      </w:pPr>
      <w:r>
        <w:rPr/>
        <w:t>La chujlla de los Huanca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es una caja de herramientas, que para Cárcamo Pino es a las manos lo que un idioma a la lengua (Cárcamo Pino, 2025a: 12). Es lo que Monteys y Fuertes piden a la cocina moderna: que no esconda sus utensilios, sino que los cuelgue a la vista, hasta que «ella misma deviene utensilio» (Monteys y Fuertes, 2001: 112). Para ellos, «una casa es una vivienda más la gente que la habita y los objetos que guarda» (ibid.: 14), y para Christopher Alexander un cuarto vale cuando deja ver «las cosas que cuentan tu historia» (Alexander et al., 1977: 1166). De las vigas cuelgan también «los ponchos y rebozos para los días de fiesta», y los charangos esperan «la mano que les acaricie» (Botelho Gosálvez, 1982 [1945]: 31). El narrador, en cambio, entra como un intruso que no habita, sino que escribe: los camastros son «morada de piojos y pulgas» (ibid.). Pallasmaa recuerda que «la casa es una metáfora del cuerpo y el cuerpo una metáfora de la casa» (Pallasmaa, 2014</w:t>
      </w:r>
      <w:ins w:id="15" w:author="Unknown Author" w:date="2026-10-11T14:16:58Z">
        <w:r>
          <w:rPr/>
          <w:t xml:space="preserve"> [2011]</w:t>
        </w:r>
      </w:ins>
      <w:r>
        <w:rPr/>
        <w:t>: 159); el narrador hace de la chujlla una madriguera.</w:t>
      </w:r>
    </w:p>
    <w:p>
      <w:pPr>
        <w:pStyle w:val="BodyText"/>
        <w:rPr/>
      </w:pPr>
      <w:r>
        <w:rPr>
          <w:b/>
          <w:bCs/>
        </w:rPr>
        <w:t xml:space="preserve">Figura 1. </w:t>
      </w:r>
      <w:r>
        <w:rPr>
          <w:b/>
          <w:bCs/>
          <w:i/>
          <w:iCs/>
        </w:rPr>
        <w:t>Cráneo/nido</w:t>
      </w:r>
      <w:r>
        <w:rPr>
          <w:b/>
          <w:bCs/>
        </w:rPr>
        <w:t>.</w:t>
      </w:r>
      <w:r>
        <w:rPr/>
        <w:t xml:space="preserve"> (1) </w:t>
      </w:r>
      <w:r>
        <w:rPr>
          <w:i/>
          <w:iCs/>
        </w:rPr>
        <w:t>Texto</w:t>
      </w:r>
      <w:r>
        <w:rPr/>
        <w:t xml:space="preserve">. Muros de piedra, fuego al centro, herramientas colgadas (Botelho Gosálvez, 1982 [1945]: 8, 30-31) y, en el techo, un crucifijo con «una pequeña huaca de barro cocido» (ibid.: 10). (2) </w:t>
      </w:r>
      <w:r>
        <w:rPr>
          <w:i/>
          <w:iCs/>
        </w:rPr>
        <w:t>Operación</w:t>
      </w:r>
      <w:r>
        <w:rPr/>
        <w:t xml:space="preserve">. Un corte a la altura de una persona en cuclillas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 </w:t>
      </w:r>
      <w:r>
        <w:rPr>
          <w:i/>
          <w:iCs/>
        </w:rPr>
        <w:t>Contraste</w:t>
      </w:r>
      <w:r>
        <w:rPr/>
        <w:t>. El esquema tiene que decidir desde dónde se mira, y el texto ofrece dos: el del narrador, intruso en la puerta, y el del cuerpo que habita, al que remiten el hollín, los camastros y las herramientas. El corte elige el segundo y se detiene ante el alma de los comunarios, para no hablar por ellos. Es, además, una manera antigua de mostrar una casa con su vida dentro: las casas de muñecas «eliminan una pared» para enseñar los objetos que guardan y las relaciones entre sus ámbitos (Monteys y Fuertes, 2001: 30), y la pintura medieval suprimía las fachadas para volverse narrativa (Fuão, 2011: 43). Mirar en cuclillas es mirar la casa «en reposo», «desde el punto de vista de quien va a usarla» (Monteys y Fuertes, 2001: 58), y no desde el recorrido del intruso. El narrador, en cambio, la declara cerrada, «nadie podía entrar», y los ve como estatuas de «hierático aspecto» (Botelho Gosálvez, 1982 [1945]: 65).</w:t>
      </w:r>
    </w:p>
    <w:p>
      <w:pPr>
        <w:pStyle w:val="Figura"/>
        <w:rPr/>
      </w:pPr>
      <w:r>
        <w:rPr/>
        <w:drawing>
          <wp:inline distT="0" distB="0" distL="0" distR="0">
            <wp:extent cx="5039995" cy="338391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5039995" cy="3383915"/>
                    </a:xfrm>
                    <a:prstGeom prst="rect">
                      <a:avLst/>
                    </a:prstGeom>
                  </pic:spPr>
                </pic:pic>
              </a:graphicData>
            </a:graphic>
          </wp:inline>
        </w:drawing>
      </w:r>
    </w:p>
    <w:p>
      <w:pPr>
        <w:pStyle w:val="Piedefigura"/>
        <w:rPr/>
      </w:pPr>
      <w:r>
        <w:rPr>
          <w:b/>
          <w:bCs/>
        </w:rPr>
        <w:t>Figura 1.</w:t>
      </w:r>
      <w:r>
        <w:rPr/>
        <w:t xml:space="preserve"> </w:t>
      </w:r>
      <w:r>
        <w:rPr>
          <w:i/>
          <w:iCs/>
        </w:rPr>
        <w:t>Cráneo/nido: sección de la chujlla de los Huanca</w:t>
      </w:r>
      <w:r>
        <w:rPr/>
        <w:t>. Esquema de encaje del pastel al óleo. Fuente: elaboración propia con asistencia de IA.</w:t>
      </w:r>
    </w:p>
    <w:p>
      <w:pPr>
        <w:pStyle w:val="BodyText"/>
        <w:rPr/>
      </w:pPr>
      <w:r>
        <w:rPr/>
        <w:t xml:space="preserve">El narrador tampoco le ve cuartos: «Las chujllas no tienen cuartos ni mucho menos» (ibid.: 30). Pero los Huanca viven en «tres chujllas de adobe y paja brava que rodean al patio» (ibid.): los cuartos son las chujllas. De noche, los hijos mayores están en las chozas próximas y entran en la del padre cuando él los llama (ibid.: 31). Alexander y su equipo, que estudiaron en detalle casas populares peruanas, llaman </w:t>
      </w:r>
      <w:r>
        <w:rPr>
          <w:i/>
          <w:iCs/>
        </w:rPr>
        <w:t>gradiente de intimidad</w:t>
      </w:r>
      <w:r>
        <w:rPr/>
        <w:t xml:space="preserve"> a ese orden de lo público a lo íntimo, en el que cada persona «sabe exactamente hasta dónde puede penetrar en la casa» (Alexander et al., 1977: 610-611). Monteys y Fuertes describen, sin conocerla, la casa de los Huanca: una casa que es «el resultado de una operación de agregación, más que de una subdivisión del espacio hasta convertirlo en distintas piezas especializadas» (Monteys y Fuertes, 2001: 56). Y para Alexander todos los patrones de una casa caben, superpuestos, «en una simple cabaña de una sola habitación» (Alexander et al., 1977: xliii). Donde el narrador ve una madriguera, ellos verían una casa comprimida.</w:t>
      </w:r>
    </w:p>
    <w:p>
      <w:pPr>
        <w:pStyle w:val="BodyText"/>
        <w:rPr/>
      </w:pPr>
      <w:r>
        <w:rPr/>
        <w:t xml:space="preserve">En el centro de esa casa está el fuego. Los braseros arden «en el centro del cuarto» (Botelho Gosálvez, 1982 [1945]: 30), y en cuclillas, «cerca del fuego», Paulo Huanca reúne a sus hijos para decidir quién se va (ibid.: 32). Para Alexander, lo más básico de un lugar común es «la comida y el fuego» (Alexander et al., 1977: 621). Monteys y Fuertes recuerdan que </w:t>
      </w:r>
      <w:r>
        <w:rPr>
          <w:i/>
          <w:iCs/>
        </w:rPr>
        <w:t>hogar</w:t>
      </w:r>
      <w:r>
        <w:rPr/>
        <w:t xml:space="preserve"> nombra «un modo de domesticar el fuego», y que la casa de origen medieval, «que pervive aun hoy en la tradición rural», no tenía piezas especializadas: en ella «se cocina, se trabaja, se recibe o se duerme, y son los muebles, en lugar de las estancias, los que determinan esos usos» (Monteys y Fuertes, 2001: 104). En la chujlla, el brasero, los camastros contra la pared y las vigas de las que cuelgan las herramientas reparten esos usos. Pero también estas son miradas de fuera, aunque admiren lo que el narrador desprecia: Alexander llama a su gradiente un principio «casi arquetípico» (Alexander et al., 1977: 611), y el arquetipo, como la naturaleza que critica Cornejo Polar, también saca a la chujlla de la historia.</w:t>
      </w:r>
    </w:p>
    <w:p>
      <w:pPr>
        <w:pStyle w:val="BodyText"/>
        <w:rPr/>
      </w:pPr>
      <w:r>
        <w:rPr/>
        <w:t xml:space="preserve">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w:t>
      </w:r>
      <w:ins w:id="16" w:author="Unknown Author" w:date="2026-10-11T14:16:58Z">
        <w:r>
          <w:rPr/>
          <w:t xml:space="preserve">Una canción de The Voidz lleva un título que describe ese edificio: «Pyramid of Bones», pirámide de huesos (The Voidz, 2018). Arriba, el blasón; abajo, los que lo sostienen. </w:t>
        </w:r>
      </w:ins>
      <w:r>
        <w:rPr/>
        <w:t>El capítulo cierra con una fórmula: «Así los Villca, Huanca y Condori, son las generaciones del Signo Escalonado» (</w:t>
      </w:r>
      <w:ins w:id="17" w:author="Unknown Author" w:date="2026-10-11T14:16:58Z">
        <w:r>
          <w:rPr/>
          <w:t>Botelho Gosálvez, 1982 [1945]</w:t>
        </w:r>
      </w:ins>
      <w:del w:id="18" w:author="Unknown Author" w:date="2026-10-11T14:16:58Z">
        <w:r>
          <w:rPr/>
          <w:delText>ibid.</w:delText>
        </w:r>
      </w:del>
      <w:r>
        <w:rPr/>
        <w:t>: 38). El glosario define el término como «Signo sagrado de Tiwanaco» (ibid.: 163). El narrador convierte un signo sagrado en un diagrama de clases, justo lo que advertía Hall.</w:t>
      </w:r>
    </w:p>
    <w:p>
      <w:pPr>
        <w:pStyle w:val="BodyText"/>
        <w:rPr/>
      </w:pPr>
      <w:r>
        <w:rPr/>
        <w:t>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rPr/>
      </w:pPr>
      <w:r>
        <w:rPr>
          <w:b/>
          <w:bCs/>
        </w:rPr>
        <w:t xml:space="preserve">Figura 2. </w:t>
      </w:r>
      <w:r>
        <w:rPr>
          <w:b/>
          <w:bCs/>
          <w:i/>
          <w:iCs/>
        </w:rPr>
        <w:t>Signo Escalonado frente al mapa</w:t>
      </w:r>
      <w:r>
        <w:rPr>
          <w:b/>
          <w:bCs/>
        </w:rPr>
        <w:t>.</w:t>
      </w:r>
      <w:r>
        <w:rPr/>
        <w:t xml:space="preserve"> (1) </w:t>
      </w:r>
      <w:r>
        <w:rPr>
          <w:i/>
          <w:iCs/>
        </w:rPr>
        <w:t>Texto</w:t>
      </w:r>
      <w:r>
        <w:rP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 </w:t>
      </w:r>
      <w:r>
        <w:rPr>
          <w:i/>
          <w:iCs/>
        </w:rPr>
        <w:t>Operación</w:t>
      </w:r>
      <w:r>
        <w:rP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o mejor, a inscribir: Fuão recuerda que las primeras escrituras fueron incisiones en piedras, en barro y en la piel, y que quien hace collage «no escribe, inscribe», es decir, escribe «en profundidad» (Fuão, 2011: 36). Entre el signo y el mapa cambia la operación de la mano, no la mano. (3) </w:t>
      </w:r>
      <w:r>
        <w:rPr>
          <w:i/>
          <w:iCs/>
        </w:rPr>
        <w:t>Contraste</w:t>
      </w:r>
      <w:r>
        <w:rPr/>
        <w:t>.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rPr/>
      </w:pPr>
      <w:r>
        <w:rPr/>
        <w:drawing>
          <wp:inline distT="0" distB="0" distL="0" distR="0">
            <wp:extent cx="4032250" cy="576008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032250" cy="5760085"/>
                    </a:xfrm>
                    <a:prstGeom prst="rect">
                      <a:avLst/>
                    </a:prstGeom>
                  </pic:spPr>
                </pic:pic>
              </a:graphicData>
            </a:graphic>
          </wp:inline>
        </w:drawing>
      </w:r>
    </w:p>
    <w:p>
      <w:pPr>
        <w:pStyle w:val="Piedefigura"/>
        <w:rPr/>
      </w:pPr>
      <w:r>
        <w:rPr>
          <w:b/>
          <w:bCs/>
        </w:rPr>
        <w:t>Figura 2.</w:t>
      </w:r>
      <w:r>
        <w:rPr/>
        <w:t xml:space="preserve"> </w:t>
      </w:r>
      <w:r>
        <w:rPr>
          <w:i/>
          <w:iCs/>
        </w:rPr>
        <w:t>Signo Escalonado frente al mapa: el cerro de Jatun-Kolla en sección y en planta</w:t>
      </w:r>
      <w:r>
        <w:rPr/>
        <w:t>. Esquema de encaje del pastel al óleo. Fuente: elaboración propia con asistencia de IA.</w:t>
      </w:r>
      <w:bookmarkEnd w:id="4"/>
    </w:p>
    <w:p>
      <w:pPr>
        <w:pStyle w:val="Heading2"/>
        <w:rPr/>
      </w:pPr>
      <w:bookmarkStart w:id="5" w:name="umacachi-la-trampa-de-los-papeles"/>
      <w:r>
        <w:rPr/>
        <w:t>4. Umacachi: la trampa de los papeles</w:t>
      </w:r>
    </w:p>
    <w:p>
      <w:pPr>
        <w:pStyle w:val="FirstParagraph"/>
        <w:rPr/>
      </w:pPr>
      <w:r>
        <w:rPr/>
        <w:t>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rPr/>
      </w:pPr>
      <w:r>
        <w:rPr/>
        <w:t xml:space="preserve">Allí manda el Alcalde vitalicio, el doctor Margarito Mendoza, </w:t>
      </w:r>
      <w:ins w:id="19" w:author="Unknown Author" w:date="2026-10-11T14:16:58Z">
        <w:r>
          <w:rPr/>
          <w:t xml:space="preserve">alias «el lobo», </w:t>
        </w:r>
      </w:ins>
      <w:r>
        <w:rPr/>
        <w:t xml:space="preserve">que anda «con el fajo de expedientes bajo el brazo» y sabe «tejer obscuras mallas de términos seudo jurídicos»; los tinterillos «urden pleitos por nada» (ibid.: 86). </w:t>
      </w:r>
      <w:r>
        <w:rPr>
          <w:i/>
          <w:iCs/>
        </w:rPr>
        <w:t>Urdir</w:t>
      </w:r>
      <w:r>
        <w:rPr/>
        <w:t xml:space="preserve"> 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 Alexander explica el papeleo por el tamaño: cuando la gente ya no puede tratarse cara a cara, los reglamentos se cumplen «a ciegas» (Alexander et al., 1977: 405). Umacachi lo desmiente: es una aldea, Vicente trata en persona con el tinterillo y el papel despoja igual. No lo mueve el tamaño, sino la casta.</w:t>
      </w:r>
    </w:p>
    <w:p>
      <w:pPr>
        <w:pStyle w:val="BodyText"/>
        <w:rPr/>
      </w:pPr>
      <w:r>
        <w:rPr/>
        <w:t xml:space="preserve">Los Villca llegan a la aldea con treinta y cuatro ovejas, y la chola Encarnación, por cincuenta bolivianos, les cede el corral: «Tu familia puede acomodarse en el pesebre» (Botelho Gosálvez, 1982 [1945]: 92). Entonces llega la letra: «Todos los animales de carneo que existen dentro del radio urbano serán requisados […] (Fdo.) Dr. Margarito Mendoza» (ibid.: 96). </w:t>
      </w:r>
      <w:ins w:id="20" w:author="Unknown Author" w:date="2026-10-11T14:16:58Z">
        <w:r>
          <w:rPr/>
          <w:t xml:space="preserve">La firma es la del lobo. </w:t>
        </w:r>
      </w:ins>
      <w:r>
        <w:rPr/>
        <w:t>El radio urbano funciona como un corral invisible: un círculo trazado en un papel encierra a todos los animales que quedan dentro, y lo cierra una firma. Es un corte en el sentido de Fuão: la tijera, «un instrumento al servicio de la razón», define, y definir es distinguir «entre lo incluido y lo excluido, el dentro y el fuera» (Fuão, 2011: 33-35).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w:t>
      </w:r>
      <w:ins w:id="21" w:author="Unknown Author" w:date="2026-10-11T14:16:58Z">
        <w:r>
          <w:rPr/>
          <w:t>). Lo dicen dos versos de «Pyramid of Bones»: «they play the game by different rules, insisting / it’s all equal», juegan con otras reglas e insisten en que todo es igual (The Voidz, 2018</w:t>
        </w:r>
      </w:ins>
      <w:r>
        <w:rPr/>
        <w:t>).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rPr/>
      </w:pPr>
      <w:r>
        <w:rPr/>
        <w:t>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La escena no enfrenta a un indio ignorante con la escritura. Y calla que, en la historia,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rPr/>
      </w:pPr>
      <w:r>
        <w:rP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 </w:t>
      </w:r>
      <w:r>
        <w:rPr>
          <w:i/>
          <w:iCs/>
        </w:rPr>
        <w:t>domesticar</w:t>
      </w:r>
      <w:r>
        <w:rPr/>
        <w:t xml:space="preserve"> viene de </w:t>
      </w:r>
      <w:r>
        <w:rPr>
          <w:i/>
          <w:iCs/>
        </w:rPr>
        <w:t>domus</w:t>
      </w:r>
      <w:r>
        <w:rPr/>
        <w:t>, casa: la aldea los alojó como a animales de casa.</w:t>
      </w:r>
      <w:bookmarkEnd w:id="5"/>
    </w:p>
    <w:p>
      <w:pPr>
        <w:pStyle w:val="Heading2"/>
        <w:rPr/>
      </w:pPr>
      <w:bookmarkStart w:id="6" w:name="el-éxodo-los-yungas-y-la-mina"/>
      <w:r>
        <w:rPr/>
        <w:t>5. El éxodo: los Yungas y la mina</w:t>
      </w:r>
    </w:p>
    <w:p>
      <w:pPr>
        <w:pStyle w:val="FirstParagraph"/>
        <w:rPr/>
      </w:pPr>
      <w:r>
        <w:rPr/>
        <w:t xml:space="preserve">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Monteys y Fuertes retoman, para la ciudad, la </w:t>
      </w:r>
      <w:r>
        <w:rPr>
          <w:i/>
          <w:iCs/>
        </w:rPr>
        <w:t>casa difusa</w:t>
      </w:r>
      <w:r>
        <w:rPr/>
        <w:t xml:space="preserve"> de Gerardo Ragone: «una casa compuesta de piezas dispersas en el territorio» (Monteys y Fuertes, 2001: 146); a su modo, el archipiélago andino era una casa así, y el éxodo, en lugar de extenderla, la deshace. En la apacheta, el viento sacude el poncho de Paulo Huanca «como un gallardete clavado en la ceja de la apacheta», su familia reza de rodillas y las cumbres se alzan «semejantes a fantásticas construcciones góticas» (Botelho Gosálvez, 1982 [1945]: 109).</w:t>
      </w:r>
    </w:p>
    <w:p>
      <w:pPr>
        <w:pStyle w:val="BodyText"/>
        <w:rPr/>
      </w:pPr>
      <w:r>
        <w:rP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 </w:t>
      </w:r>
      <w:r>
        <w:rPr>
          <w:i/>
          <w:iCs/>
        </w:rPr>
        <w:t>crimen</w:t>
      </w:r>
      <w:r>
        <w:rPr/>
        <w:t>, que el narrador reserva para la muerte de Condori (ibid.: 154), no alcanza al patrón, y lo único que la novela deja hacer a la mano de la muchacha es quitarse la vida. El único cruce logrado lo hacen los monos: forman sobre el río «una cadena cogiéndose de manos» (ibid.: 121).</w:t>
      </w:r>
    </w:p>
    <w:p>
      <w:pPr>
        <w:pStyle w:val="BodyText"/>
        <w:rPr/>
      </w:pPr>
      <w:r>
        <w:rPr>
          <w:b/>
          <w:bCs/>
        </w:rPr>
        <w:t xml:space="preserve">Figura 3. </w:t>
      </w:r>
      <w:r>
        <w:rPr>
          <w:b/>
          <w:bCs/>
          <w:i/>
          <w:iCs/>
        </w:rPr>
        <w:t>Umbral de la apacheta</w:t>
      </w:r>
      <w:r>
        <w:rPr>
          <w:b/>
          <w:bCs/>
        </w:rPr>
        <w:t>.</w:t>
      </w:r>
      <w:r>
        <w:rPr/>
        <w:t xml:space="preserve"> (1) </w:t>
      </w:r>
      <w:r>
        <w:rPr>
          <w:i/>
          <w:iCs/>
        </w:rPr>
        <w:t>Texto</w:t>
      </w:r>
      <w:r>
        <w:rPr/>
        <w:t xml:space="preserve">. El glosario define la apacheta como «abra de las cordilleras y cumbre de los caminos» (Botelho Gosálvez, 1982 [1945]: 160): un lugar, no un montón. La novela la marca con un cuerpo erguido, la familia arrodillada y la «fauce» del yunga (ibid.: 109) y, más abajo, el puente de monos (ibid.: 121). (2) </w:t>
      </w:r>
      <w:r>
        <w:rPr>
          <w:i/>
          <w:iCs/>
        </w:rPr>
        <w:t>Operación</w:t>
      </w:r>
      <w:r>
        <w:rPr/>
        <w:t xml:space="preserve">. Una hoja apaisada partida por la cresta. Del lado de la puna, pastel seco sobre papel de grano grueso, que asoma como piedra; del lado del yunga, pastel disuelto en capas transparentes que chorrean. En la cresta, una técnica se vuelve la otra. (3) </w:t>
      </w:r>
      <w:r>
        <w:rPr>
          <w:i/>
          <w:iCs/>
        </w:rPr>
        <w:t>Contraste</w:t>
      </w:r>
      <w:r>
        <w:rPr/>
        <w:t xml:space="preserve">. El esquema sigue al texto y dibuja un umbral sin montón. Pero el aymara colonial llama </w:t>
      </w:r>
      <w:r>
        <w:rPr>
          <w:i/>
          <w:iCs/>
        </w:rPr>
        <w:t>apachita</w:t>
      </w:r>
      <w:r>
        <w:rPr/>
        <w:t xml:space="preserve"> al «montón de piedras, que por superstición van haciendo los caminantes y los adoran» (Bertonio, 2011 [1612]: 317), en el que se pegaba «coca mascada con las manos» (ibid.: 349): un montón que crece con cada viajero. La novela lo cambia por una muralla y un cuerpo clavado. En la hoja partida, los Yungas son un cambio de estado de la materia y de la mano: la cera se funde como Paulo, </w:t>
      </w:r>
      <w:r>
        <w:rPr>
          <w:i/>
          <w:iCs/>
        </w:rPr>
        <w:t>wank’a</w:t>
      </w:r>
      <w:r>
        <w:rPr/>
        <w:t xml:space="preserve"> fuera de su lugar. Y lo único que cruza el abismo es colectivo y está hecho de manos, como la apacheta que falta. Para Fuão, la cola es ese puente sobre «el abismo del recorte»: lo que comunica a los pueblos «separados por las gargantas de los abismos geográficos» (Fuão, 2011: 80).</w:t>
      </w:r>
    </w:p>
    <w:p>
      <w:pPr>
        <w:pStyle w:val="Figura"/>
        <w:rPr/>
      </w:pPr>
      <w:r>
        <w:rPr/>
        <w:drawing>
          <wp:inline distT="0" distB="0" distL="0" distR="0">
            <wp:extent cx="5039995" cy="359981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039995" cy="3599815"/>
                    </a:xfrm>
                    <a:prstGeom prst="rect">
                      <a:avLst/>
                    </a:prstGeom>
                  </pic:spPr>
                </pic:pic>
              </a:graphicData>
            </a:graphic>
          </wp:inline>
        </w:drawing>
      </w:r>
    </w:p>
    <w:p>
      <w:pPr>
        <w:pStyle w:val="Piedefigura"/>
        <w:rPr/>
      </w:pPr>
      <w:r>
        <w:rPr>
          <w:b/>
          <w:bCs/>
        </w:rPr>
        <w:t>Figura 3.</w:t>
      </w:r>
      <w:r>
        <w:rPr/>
        <w:t xml:space="preserve"> </w:t>
      </w:r>
      <w:r>
        <w:rPr>
          <w:i/>
          <w:iCs/>
        </w:rPr>
        <w:t>Umbral de la apacheta: la ceja de la cordillera y la fauce del yunga</w:t>
      </w:r>
      <w:r>
        <w:rPr/>
        <w:t>. Esquema de encaje del pastel al óleo. Fuente: elaboración propia con asistencia de IA.</w:t>
      </w:r>
    </w:p>
    <w:p>
      <w:pPr>
        <w:pStyle w:val="BodyText"/>
        <w:rPr/>
      </w:pPr>
      <w:r>
        <w:rPr/>
        <w:t xml:space="preserve">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La huella es un </w:t>
      </w:r>
      <w:r>
        <w:rPr>
          <w:i/>
          <w:iCs/>
        </w:rPr>
        <w:t>índice</w:t>
      </w:r>
      <w:r>
        <w:rPr/>
        <w:t xml:space="preserve"> en el sentido que Fuão toma de Peirce: una «conexión física entre representante y representado», como el humo lo es del fuego (Fuão, 2011: 28), y sirve a lo que él llama «el control sobre los cuerpos»: el «registro institucional» (ibid.: 48). Por la mañana camina hacia la entrada por el desmonte (Botelho Gosálvez, 1982 [1945]: 140), la montaña de roca sin mineral que la mina saca y amontona: otra montaña de piedras, hecha con un cerro deshecho. El capataz le promete otra cosecha: «Aquí cosecharás miles de cargas de estaño» (ibid.: 142).</w:t>
      </w:r>
    </w:p>
    <w:p>
      <w:pPr>
        <w:pStyle w:val="BodyText"/>
        <w:rPr/>
      </w:pPr>
      <w:r>
        <w:rPr/>
        <w:t xml:space="preserve">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Es un montaje en el sentido de Fuão: una actividad «más técnica, más mecánica, un juntar y pegar», distinta de la collage, que cambia el sentido de lo que junta (Fuão, 2011: 102); la palabra </w:t>
      </w:r>
      <w:r>
        <w:rPr>
          <w:i/>
          <w:iCs/>
        </w:rPr>
        <w:t>fotomontaje</w:t>
      </w:r>
      <w:r>
        <w:rPr/>
        <w:t>, recuerda, nació «de la cultura industrial, del montaje de turbinas, de máquinas» (ibid.: 97). El agua mide el cuerpo, de los tobillos a las rodillas, la cintura y el ombligo (Botelho Gosálvez, 1982 [1945]: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rPr/>
      </w:pPr>
      <w:r>
        <w:rPr>
          <w:b/>
          <w:bCs/>
        </w:rPr>
        <w:t xml:space="preserve">Figura 4. </w:t>
      </w:r>
      <w:r>
        <w:rPr>
          <w:b/>
          <w:bCs/>
          <w:i/>
          <w:iCs/>
        </w:rPr>
        <w:t>El castillete y la caída al plano 450</w:t>
      </w:r>
      <w:r>
        <w:rPr>
          <w:b/>
          <w:bCs/>
        </w:rPr>
        <w:t>.</w:t>
      </w:r>
      <w:r>
        <w:rPr/>
        <w:t xml:space="preserve"> (1) </w:t>
      </w:r>
      <w:r>
        <w:rPr>
          <w:i/>
          <w:iCs/>
        </w:rPr>
        <w:t>Texto</w:t>
      </w:r>
      <w:r>
        <w:rPr/>
        <w:t xml:space="preserve">. Torre, campamento escalonado, nichos, jaula, galería inundada, derrumbe (Botelho Gosálvez, 1982 [1945]: 134-154). (2) </w:t>
      </w:r>
      <w:r>
        <w:rPr>
          <w:i/>
          <w:iCs/>
        </w:rPr>
        <w:t>Operación</w:t>
      </w:r>
      <w:r>
        <w:rP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 </w:t>
      </w:r>
      <w:r>
        <w:rPr>
          <w:i/>
          <w:iCs/>
        </w:rPr>
        <w:t>Contraste</w:t>
      </w:r>
      <w:r>
        <w:rPr/>
        <w:t>.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rPr/>
      </w:pPr>
      <w:r>
        <w:rPr/>
        <w:drawing>
          <wp:inline distT="0" distB="0" distL="0" distR="0">
            <wp:extent cx="4214495" cy="576008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4214495" cy="5760085"/>
                    </a:xfrm>
                    <a:prstGeom prst="rect">
                      <a:avLst/>
                    </a:prstGeom>
                  </pic:spPr>
                </pic:pic>
              </a:graphicData>
            </a:graphic>
          </wp:inline>
        </w:drawing>
      </w:r>
    </w:p>
    <w:p>
      <w:pPr>
        <w:pStyle w:val="Piedefigura"/>
        <w:rPr/>
      </w:pPr>
      <w:r>
        <w:rPr>
          <w:b/>
          <w:bCs/>
        </w:rPr>
        <w:t>Figura 4.</w:t>
      </w:r>
      <w:r>
        <w:rPr/>
        <w:t xml:space="preserve"> </w:t>
      </w:r>
      <w:r>
        <w:rPr>
          <w:i/>
          <w:iCs/>
        </w:rPr>
        <w:t>El castillete y la caída al plano 450</w:t>
      </w:r>
      <w:r>
        <w:rPr/>
        <w:t>. Esquema de encaje del pastel al óleo. Fuente: elaboración propia con asistencia de IA.</w:t>
      </w:r>
      <w:bookmarkEnd w:id="6"/>
    </w:p>
    <w:p>
      <w:pPr>
        <w:pStyle w:val="Heading2"/>
        <w:rPr/>
      </w:pPr>
      <w:bookmarkStart w:id="7" w:name="X708018351417205dc0884bafc6e4107def1df7f"/>
      <w:r>
        <w:rPr/>
        <w:t>6. La sequía y el linchamiento: el cuerpo en la catástrofe</w:t>
      </w:r>
    </w:p>
    <w:p>
      <w:pPr>
        <w:pStyle w:val="FirstParagraph"/>
        <w:rPr/>
      </w:pPr>
      <w:r>
        <w:rPr/>
        <w:t>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Al salir del ayllu, las casas ajenas se les cierran: a los vecinos, la sequía «les endureció el alma como había endurecido la tierra», y los reciben «dándoles con las puertas» y a pedradas (ibid.: 80).</w:t>
      </w:r>
    </w:p>
    <w:p>
      <w:pPr>
        <w:pStyle w:val="BodyText"/>
        <w:rPr/>
      </w:pPr>
      <w:r>
        <w:rPr/>
        <w:t xml:space="preserve">El yatiri Basilio Quispe, que vendía «piedra bezoar» (Botelho Gosálvez, 1982 [1945]: 66), es acusado de causar la sequía: de sus ropas caen «dos muñequitos de lana» atravesados por una espina (ibid.: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Fuão distingue la fragmentación, que despedaza, de la dispersión, en la que los pedazos, «separados del cuerpo original», quedan «distanciados unos de otros» (Fuão, 2011: 16). El linchamiento hace las dos cosas. La escena admite dos lecturas. Una pasa por Francis Bacon: en </w:t>
      </w:r>
      <w:r>
        <w:rPr>
          <w:i/>
          <w:iCs/>
        </w:rPr>
        <w:t>Crucifixión</w:t>
      </w:r>
      <w:r>
        <w:rPr/>
        <w:t xml:space="preserve"> (1965), dos jueces examinan «las manipulaciones de la carne» (Martin, 2014: 85), como la comunidad y el lector ante el cuerpo de Basilio. La otra pasa por la </w:t>
      </w:r>
      <w:r>
        <w:rPr>
          <w:i/>
          <w:iCs/>
        </w:rPr>
        <w:t>kenchería</w:t>
      </w:r>
      <w:r>
        <w:rPr/>
        <w:t xml:space="preserve">, «mal de ojo, brujería» (Botelho Gosálvez, 1982 [1945]: 162): la espina del muñeco reaparece en la carne, y la efigie actúa. El narrador presenta a la multitud como animales, vuelve sexual la furia de Justina y sienta al lector en la tribuna, como un juez. </w:t>
      </w:r>
      <w:ins w:id="22" w:author="Unknown Author" w:date="2026-10-11T14:16:58Z">
        <w:r>
          <w:rPr/>
          <w:t xml:space="preserve">Fuão llama </w:t>
        </w:r>
      </w:ins>
      <w:ins w:id="23" w:author="Unknown Author" w:date="2026-10-11T14:16:58Z">
        <w:r>
          <w:rPr>
            <w:i/>
            <w:iCs/>
          </w:rPr>
          <w:t>voyeurismo</w:t>
        </w:r>
      </w:ins>
      <w:ins w:id="24" w:author="Unknown Author" w:date="2026-10-11T14:16:58Z">
        <w:r>
          <w:rPr/>
          <w:t xml:space="preserve"> a esa posición: separar al observador del objeto «mediante un distanciamiento de la mirada y el ocultamiento del propio cuerpo» (Fuão, 2011: 24). </w:t>
        </w:r>
      </w:ins>
      <w:r>
        <w:rPr/>
        <w:t>Por eso la serie no dibuja el linchamiento: un pastel de ese cuerpo sería otra efigie, y reunir sus pedazos en una hoja, una collage.</w:t>
      </w:r>
    </w:p>
    <w:p>
      <w:pPr>
        <w:pStyle w:val="BodyText"/>
        <w:rPr/>
      </w:pPr>
      <w:r>
        <w:rPr>
          <w:b/>
          <w:bCs/>
        </w:rPr>
        <w:t xml:space="preserve">Figura 5. </w:t>
      </w:r>
      <w:r>
        <w:rPr>
          <w:b/>
          <w:bCs/>
          <w:i/>
          <w:iCs/>
        </w:rPr>
        <w:t>Pelvis telúrica / Pachamama sorda</w:t>
      </w:r>
      <w:r>
        <w:rPr>
          <w:b/>
          <w:bCs/>
        </w:rPr>
        <w:t>.</w:t>
      </w:r>
      <w:r>
        <w:rPr/>
        <w:t xml:space="preserve"> (1) </w:t>
      </w:r>
      <w:r>
        <w:rPr>
          <w:i/>
          <w:iCs/>
        </w:rPr>
        <w:t>Texto</w:t>
      </w:r>
      <w:r>
        <w:rPr/>
        <w:t>. «La Pacha Mama, sorda, vieja, extenuada, recibía el cuerpo de sus más fieles hijos para encerrarlos en su vientre de sequedad inexorable» (</w:t>
      </w:r>
      <w:ins w:id="25" w:author="Unknown Author" w:date="2026-10-11T14:16:58Z">
        <w:r>
          <w:rPr/>
          <w:t>Botelho Gosálvez, 1982 [1945]</w:t>
        </w:r>
      </w:ins>
      <w:del w:id="26" w:author="Unknown Author" w:date="2026-10-11T14:16:58Z">
        <w:r>
          <w:rPr/>
          <w:delText>ibid.</w:delText>
        </w:r>
      </w:del>
      <w:r>
        <w:rPr/>
        <w:t xml:space="preserve">: 66); las vacas hambrientas muestran «las nalgas abiertas a la manera de una luna menguante» (ibid.: 64). (2) </w:t>
      </w:r>
      <w:r>
        <w:rPr>
          <w:i/>
          <w:iCs/>
        </w:rPr>
        <w:t>Operación</w:t>
      </w:r>
      <w:r>
        <w:rPr/>
        <w:t xml:space="preserve">. El cielo se deja en papel desnudo: la sequía como falta de pincelada. La cuenca seca de las vertientes (ibid.: 58) se dibuja como una pelvis, la cadera del ganado vuelta luna menguante, en blanco hueso sobre tierra de sombra, agrietada a punta de raspado. (3) </w:t>
      </w:r>
      <w:r>
        <w:rPr>
          <w:i/>
          <w:iCs/>
        </w:rPr>
        <w:t>Contraste</w:t>
      </w:r>
      <w:r>
        <w:rPr/>
        <w:t xml:space="preserve">. Que la tierra sea madre no lo inventa el narrador: para Bertonio, </w:t>
      </w:r>
      <w:r>
        <w:rPr>
          <w:i/>
          <w:iCs/>
        </w:rPr>
        <w:t>Pachamama</w:t>
      </w:r>
      <w:r>
        <w:rPr/>
        <w:t xml:space="preserve"> era «nombre de reverencia», y se le decía «yo seré tu hijo» (Bertonio, 2011 [1612]: 420). Lo que sí es del narrador es el tono: una tierra que «abortó en plena gestación» (Botelho Gosálvez, 1982 [1945]: 66) y, al final, «hembra paridora» (ibid.: 159); hasta el ayllu vacío es un «solar histérico, infecundo» (ibid.: 79), de </w:t>
      </w:r>
      <w:r>
        <w:rPr>
          <w:i/>
          <w:iCs/>
        </w:rPr>
        <w:t>hystéra</w:t>
      </w:r>
      <w:r>
        <w:rPr/>
        <w:t>,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rPr/>
      </w:pPr>
      <w:r>
        <w:rPr/>
        <w:drawing>
          <wp:inline distT="0" distB="0" distL="0" distR="0">
            <wp:extent cx="5039995" cy="374396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039995" cy="3743960"/>
                    </a:xfrm>
                    <a:prstGeom prst="rect">
                      <a:avLst/>
                    </a:prstGeom>
                  </pic:spPr>
                </pic:pic>
              </a:graphicData>
            </a:graphic>
          </wp:inline>
        </w:drawing>
      </w:r>
    </w:p>
    <w:p>
      <w:pPr>
        <w:pStyle w:val="Piedefigura"/>
        <w:rPr/>
      </w:pPr>
      <w:r>
        <w:rPr>
          <w:b/>
          <w:bCs/>
        </w:rPr>
        <w:t>Figura 5.</w:t>
      </w:r>
      <w:r>
        <w:rPr/>
        <w:t xml:space="preserve"> </w:t>
      </w:r>
      <w:r>
        <w:rPr>
          <w:i/>
          <w:iCs/>
        </w:rPr>
        <w:t>Pelvis telúrica / Pachamama sorda</w:t>
      </w:r>
      <w:r>
        <w:rPr/>
        <w:t>. Esquema de encaje del pastel al óleo. Fuente: elaboración propia con asistencia de IA.</w:t>
      </w:r>
    </w:p>
    <w:p>
      <w:pPr>
        <w:pStyle w:val="BodyText"/>
        <w:rPr/>
      </w:pPr>
      <w:r>
        <w:rPr>
          <w:b/>
          <w:bCs/>
        </w:rPr>
        <w:t xml:space="preserve">Figura 6. </w:t>
      </w:r>
      <w:r>
        <w:rPr>
          <w:b/>
          <w:bCs/>
          <w:i/>
          <w:iCs/>
        </w:rPr>
        <w:t>El centinela de la resistencia</w:t>
      </w:r>
      <w:r>
        <w:rPr>
          <w:b/>
          <w:bCs/>
        </w:rPr>
        <w:t>.</w:t>
      </w:r>
      <w:r>
        <w:rPr/>
        <w:t xml:space="preserve"> (1) </w:t>
      </w:r>
      <w:r>
        <w:rPr>
          <w:i/>
          <w:iCs/>
        </w:rPr>
        <w:t>Texto</w:t>
      </w:r>
      <w:r>
        <w:rP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 </w:t>
      </w:r>
      <w:r>
        <w:rPr>
          <w:i/>
          <w:iCs/>
        </w:rPr>
        <w:t>Operación</w:t>
      </w:r>
      <w:r>
        <w:rP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 </w:t>
      </w:r>
      <w:r>
        <w:rPr>
          <w:i/>
          <w:iCs/>
        </w:rPr>
        <w:t>Contraste</w:t>
      </w:r>
      <w:r>
        <w:rPr/>
        <w:t xml:space="preserve">. El narrador llama a los vigías «cancerberos» y «muertos en vida» (ibid.), pero también «celadores y enfermeros» (ibid.: 79). El esquema los traza como mojones, una decisión que el aymara respalda y el texto no. </w:t>
      </w:r>
      <w:r>
        <w:rPr>
          <w:i/>
          <w:iCs/>
        </w:rPr>
        <w:t>Achachi</w:t>
      </w:r>
      <w:r>
        <w:rPr/>
        <w:t xml:space="preserve">, que el glosario traduce por «anciano» (ibid.: 160), es también «la cepa de una casa o familia» y el «término o mojón de las tierras» (Bertonio, 2011 [1612]: 307). Y </w:t>
      </w:r>
      <w:r>
        <w:rPr>
          <w:i/>
          <w:iCs/>
        </w:rPr>
        <w:t>saywa</w:t>
      </w:r>
      <w:r>
        <w:rPr/>
        <w:t>,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 Son lo que Fuão llama la figura de la espera, la que «aguarda y guarda» (Fuão, 2011: 65).</w:t>
      </w:r>
    </w:p>
    <w:p>
      <w:pPr>
        <w:pStyle w:val="Figura"/>
        <w:rPr/>
      </w:pPr>
      <w:r>
        <w:rPr/>
        <w:drawing>
          <wp:inline distT="0" distB="0" distL="0" distR="0">
            <wp:extent cx="3839845" cy="576008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3839845" cy="5760085"/>
                    </a:xfrm>
                    <a:prstGeom prst="rect">
                      <a:avLst/>
                    </a:prstGeom>
                  </pic:spPr>
                </pic:pic>
              </a:graphicData>
            </a:graphic>
          </wp:inline>
        </w:drawing>
      </w:r>
    </w:p>
    <w:p>
      <w:pPr>
        <w:pStyle w:val="Piedefigura"/>
        <w:rPr/>
      </w:pPr>
      <w:r>
        <w:rPr>
          <w:b/>
          <w:bCs/>
        </w:rPr>
        <w:t>Figura 6.</w:t>
      </w:r>
      <w:r>
        <w:rPr/>
        <w:t xml:space="preserve"> </w:t>
      </w:r>
      <w:r>
        <w:rPr>
          <w:i/>
          <w:iCs/>
        </w:rPr>
        <w:t>El centinela de la resistencia: los tres vigías del ayllu vacío</w:t>
      </w:r>
      <w:r>
        <w:rPr/>
        <w:t>. Esquema de encaje del pastel al óleo. Fuente: elaboración propia con asistencia de IA.</w:t>
      </w:r>
      <w:bookmarkEnd w:id="7"/>
    </w:p>
    <w:p>
      <w:pPr>
        <w:pStyle w:val="Heading2"/>
        <w:rPr/>
      </w:pPr>
      <w:bookmarkStart w:id="8" w:name="Xd33dadc6dc41c4f190a3160c8a87a45b956b4eb"/>
      <w:r>
        <w:rPr/>
        <w:t>7. El retorno: reparar la casa, elegir la memoria</w:t>
      </w:r>
    </w:p>
    <w:p>
      <w:pPr>
        <w:pStyle w:val="FirstParagraph"/>
        <w:rPr/>
      </w:pPr>
      <w:r>
        <w:rPr/>
        <w:t>Con las heladas vuelven los sobrevivientes: «en el dintel de Jatun-Kolla se detenían para ponerse de rodillas y besar el suelo que habían abandonado en el terror» (Botelho Gosálvez, 1982 [1945]: 155). El ayllu tiene dintel: es una casa. Volver es también juntar lo disperso: las familias llegan «de los cuatro rumbos de la pampa» (ibid.</w:t>
      </w:r>
      <w:del w:id="27" w:author="Unknown Author" w:date="2026-10-11T14:16:58Z">
        <w:r>
          <w:rPr/>
          <w:delText>: 155</w:delText>
        </w:r>
      </w:del>
      <w:r>
        <w:rPr/>
        <w:t xml:space="preserve">), y la palabra </w:t>
      </w:r>
      <w:r>
        <w:rPr>
          <w:i/>
          <w:iCs/>
        </w:rPr>
        <w:t>cola</w:t>
      </w:r>
      <w:r>
        <w:rPr/>
        <w:t xml:space="preserve">, escribe Fuão, conserva en todos sus derivados el sentido de lo que «aglutina, reúne, lo que fue disperso» (Fuão, 2011: 81). Han muerto más de ciento cincuenta comunarios (Botelho Gosálvez, 1982 [1945]: 156). Reparar es un trabajo de manos y de piedra: «Las chujllas fueron reparadas del estrago, las pircas de piedra que separan las parcelas fueron compuestas» (ibid.). </w:t>
      </w:r>
      <w:r>
        <w:rPr>
          <w:i/>
          <w:iCs/>
        </w:rPr>
        <w:t>Compuestas</w:t>
      </w:r>
      <w:r>
        <w:rPr/>
        <w:t xml:space="preserve">: la palabra que los tratados de arquitectura reservaban al arquitecto vuelve aquí como faena comunal. Recomponer la pirca es volver a amojonar, lo que el aymara llama </w:t>
      </w:r>
      <w:r>
        <w:rPr>
          <w:i/>
          <w:iCs/>
        </w:rPr>
        <w:t>saywaña</w:t>
      </w:r>
      <w:r>
        <w:rPr/>
        <w:t>: «mojonar las chácaras con montones de piedra» (Bertonio, 2011 [1612]: 466). Alexander define la propiedad por el control, no por el dinero, y pide «el poder legal y la oportunidad física de modificar y reparar sus propios lugares» (Alexander et al., 1977: 395). La novela las separa: el poder, en los papeles; la oportunidad, en las manos. Reparar a la vez la casa y el lindero es lo que Alexander pide a todo el que construye: «reparar el mundo a su alrededor, y dentro de él» (</w:t>
      </w:r>
      <w:ins w:id="28" w:author="Unknown Author" w:date="2026-10-11T14:16:58Z">
        <w:r>
          <w:rPr/>
          <w:t>ibid.</w:t>
        </w:r>
      </w:ins>
      <w:del w:id="29" w:author="Unknown Author" w:date="2026-10-11T14:16:58Z">
        <w:r>
          <w:rPr/>
          <w:delText>Alexander et al., 1977</w:delText>
        </w:r>
      </w:del>
      <w:r>
        <w:rPr/>
        <w:t>: xiii)</w:t>
      </w:r>
      <w:del w:id="30" w:author="Unknown Author" w:date="2026-10-11T14:16:58Z">
        <w:r>
          <w:rPr/>
          <w:delText xml:space="preserve">. En Umacachi, la ordenanza se llevó los bueyes de los Villca, que se lamentaban: «Y ni siquiera tenemos una yunta» (Botelho Gosálvez, 1982 [1945]: 105). Al volver, sin yuntas, «los mismos hombres eran quienes tiraban el arado» (ibid.: 156). El cuerpo ocupa el lugar del buey, y recuerda: al volver a la casa antigua, escribe Bachelard, «los gestos más finos, los gestos primeros, son súbitamente vivos, siempre perfectos», porque «la casa natal ha inscrito en nosotros la jerarquía de las diversas funciones del habitar» (Bachelard, 1983 [1957]: 45, cit. en Monteys y Fuertes, 2001: 42). Y el narrador vuelve a convertirlos en piedra: trabajan «con una voluntad de siglos de piedra» (Botelho Gosálvez, 1982 [1945]: 156), una piedra fuera de la historia, no la </w:delText>
        </w:r>
      </w:del>
      <w:del w:id="31" w:author="Unknown Author" w:date="2026-10-11T14:16:58Z">
        <w:r>
          <w:rPr>
            <w:i/>
            <w:iCs/>
          </w:rPr>
          <w:delText>wank’a</w:delText>
        </w:r>
      </w:del>
      <w:del w:id="32" w:author="Unknown Author" w:date="2026-10-11T14:16:58Z">
        <w:r>
          <w:rPr/>
          <w:delText xml:space="preserve"> con dueño y con lugar</w:delText>
        </w:r>
      </w:del>
      <w:r>
        <w:rPr/>
        <w:t>.</w:t>
      </w:r>
    </w:p>
    <w:p>
      <w:pPr>
        <w:pStyle w:val="BodyText"/>
        <w:rPr>
          <w:ins w:id="36" w:author="Unknown Author" w:date="2026-10-11T14:16:58Z"/>
        </w:rPr>
      </w:pPr>
      <w:ins w:id="33" w:author="Unknown Author" w:date="2026-10-11T14:16:58Z">
        <w:r>
          <w:rPr/>
          <w:t xml:space="preserve">En Umacachi, la ordenanza se llevó los bueyes de los Villca, que se lamentaban: «Y ni siquiera tenemos una yunta» (Botelho Gosálvez, 1982 [1945]: 105). Al volver, sin yuntas, «los mismos hombres eran quienes tiraban el arado» (ibid.: 156). El cuerpo ocupa el lugar del buey, y recuerda: al volver a la casa antigua, escribe Bachelard, «los gestos más finos, los gestos primeros, son súbitamente vivos, siempre perfectos», porque «la casa natal ha inscrito en nosotros la jerarquía de las diversas funciones del habitar» (Bachelard, 1983 [1957]: 45, cit. en Monteys y Fuertes, 2001: 42). Y el narrador vuelve a convertirlos en piedra: trabajan «con una voluntad de siglos de piedra» (Botelho Gosálvez, 1982 [1945]: 156), una piedra fuera de la historia, no la </w:t>
        </w:r>
      </w:ins>
      <w:ins w:id="34" w:author="Unknown Author" w:date="2026-10-11T14:16:58Z">
        <w:r>
          <w:rPr>
            <w:i/>
            <w:iCs/>
          </w:rPr>
          <w:t>wank’a</w:t>
        </w:r>
      </w:ins>
      <w:ins w:id="35" w:author="Unknown Author" w:date="2026-10-11T14:16:58Z">
        <w:r>
          <w:rPr/>
          <w:t xml:space="preserve"> con dueño y con lugar.</w:t>
        </w:r>
      </w:ins>
    </w:p>
    <w:p>
      <w:pPr>
        <w:pStyle w:val="BodyText"/>
        <w:rPr/>
      </w:pPr>
      <w:r>
        <w:rPr/>
        <w:t>La memoria se construye igual que la casa. Cada uno guarda sus padecimientos «con el mismo pudor de los ex carcelados», y la memoria «no recordaba sino lo pasado antiguo, lo bueno y lo alegre de las cosechas» (ibid.):</w:t>
      </w:r>
    </w:p>
    <w:p>
      <w:pPr>
        <w:pStyle w:val="BlockText"/>
        <w:rPr/>
      </w:pPr>
      <w:r>
        <w:rPr/>
        <w:t>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rPr/>
      </w:pPr>
      <w:r>
        <w:rPr/>
        <w:t xml:space="preserve">Muralla, foso, atalaya: recordar es construir, y olvidar también (Figura 7). </w:t>
      </w:r>
      <w:ins w:id="37" w:author="Unknown Author" w:date="2026-10-11T14:16:58Z">
        <w:r>
          <w:rPr/>
          <w:t xml:space="preserve">Dean lo dice de las piedras incas, «memorias materializadas»: «recordar una versión del pasado exige olvidar o reprimir otra versión de ese mismo pasado» (Dean, 2010: 39). </w:t>
        </w:r>
      </w:ins>
      <w:r>
        <w:rPr/>
        <w:t xml:space="preserve">Fuão describe ese olvido como el trabajo de la cola: crea «la ilusión de integridad», «no cura ni salva, solo cierra la boca de los abismos» (Fuão, 2011: 88); y el tiempo, añade, es la más potente de las colas, porque «cierra cicatrices» (ibid.: 91). Es lo contrario del lema del epígrafe: los comunarios de la novela no caminan mirando al pasado; lo esconden en un foso. </w:t>
      </w:r>
      <w:ins w:id="38" w:author="Unknown Author" w:date="2026-10-11T14:16:58Z">
        <w:r>
          <w:rPr/>
          <w:t>Dos versos seguidos de «Father Electricity» juntan los dos gestos de esa memoria: «I do not want to see the whole mess / I wish I could live in retrospect», no quiero ver todo el desastre; ojalá pudiera vivir mirando atrás (Julian Casablancas+The Voidz, 2014</w:t>
        </w:r>
      </w:ins>
      <w:del w:id="39" w:author="Unknown Author" w:date="2026-10-11T14:16:58Z">
        <w:r>
          <w:rPr/>
          <w:delText>La selección tiene nombres: «Llegaron los Villca, los Huanca, los Huallpa, los Yupanqui, los Ticona, los Choque, los Chuquihuanca» (Botelho Gosálvez, 1982 [1945]: 156). Faltan los Condori, los Mamani y los Quispe, la «legión» sin tierra que cerraba la escalera del narrador (ibid.: 22). El Signo Escalonado se rehace sin su último escalón. Si, como concluyen Monteys y Fuertes, las personas «son la casa» (Monteys y Fuertes, 2001: 148), el ayllu se rehace incompleto. Una pirca de doble cara enseña lo que esa memoria olvida: las piedras grandes dan la cara, pero adentro van las menudas, y sin ese relleno el muro se cae. El narrador también llama «legión» a la «piedrecilla menuda» que baja del cerro hasta las pircas (Botelho Gosálvez, 1982 [1945]: 8</w:delText>
        </w:r>
      </w:del>
      <w:r>
        <w:rPr/>
        <w:t xml:space="preserve">). Los </w:t>
      </w:r>
      <w:ins w:id="40" w:author="Unknown Author" w:date="2026-10-11T14:16:58Z">
        <w:r>
          <w:rPr/>
          <w:t>comunarios miran atrás, pero no para caminar, como pide el lema, sino para saltar el foso: recuerdan las cosechas, no el hambre</w:t>
        </w:r>
      </w:ins>
      <w:del w:id="41" w:author="Unknown Author" w:date="2026-10-11T14:16:58Z">
        <w:r>
          <w:rPr/>
          <w:delText xml:space="preserve">sin tierra fueron ese relleno: tres de ellos, sin nombre, cuidaron el ayllu vacío, y el retorno no los cuenta. Con la cosecha, los derrotados «olvidaron la pesadilla pasada» (ibid.: 159). Endurecerse para no sufrir la pérdida tiene nombre en aymara: </w:delText>
        </w:r>
      </w:del>
      <w:del w:id="42" w:author="Unknown Author" w:date="2026-10-11T14:16:58Z">
        <w:r>
          <w:rPr>
            <w:i/>
            <w:iCs/>
          </w:rPr>
          <w:delText>qalachuyma</w:delText>
        </w:r>
      </w:del>
      <w:del w:id="43" w:author="Unknown Author" w:date="2026-10-11T14:16:58Z">
        <w:r>
          <w:rPr/>
          <w:delText xml:space="preserve">, «corazón de piedra»; en un relato de Spedding, para volverse así «hay que lamer el batán de moler» (Spedding, 2025: XV). Contra el susto, la piedra se usa al revés: se come el bezoar del yatiri, en aymara </w:delText>
        </w:r>
      </w:del>
      <w:del w:id="44" w:author="Unknown Author" w:date="2026-10-11T14:16:58Z">
        <w:r>
          <w:rPr>
            <w:i/>
            <w:iCs/>
          </w:rPr>
          <w:delText>jayintilla</w:delText>
        </w:r>
      </w:del>
      <w:del w:id="45" w:author="Unknown Author" w:date="2026-10-11T14:16:58Z">
        <w:r>
          <w:rPr/>
          <w:delText xml:space="preserve"> (Bertonio, 2011 [1612]: 361), o la tierra del lugar del miedo, para «retornar al territorio y a la memoria» (Rodríguez y Rodríguez, 2025: 55). Los comunarios besan el suelo, pero no vuelven a la memoria. La paz se paga con ese olvido</w:delText>
        </w:r>
      </w:del>
      <w:r>
        <w:rPr/>
        <w:t>.</w:t>
      </w:r>
    </w:p>
    <w:p>
      <w:pPr>
        <w:pStyle w:val="BodyText"/>
        <w:rPr>
          <w:ins w:id="47" w:author="Unknown Author" w:date="2026-10-11T14:16:58Z"/>
        </w:rPr>
      </w:pPr>
      <w:ins w:id="46" w:author="Unknown Author" w:date="2026-10-11T14:16:58Z">
        <w:r>
          <w:rPr/>
          <w:t>La selección tiene nombres: «Llegaron los Villca, los Huanca, los Huallpa, los Yupanqui, los Ticona, los Choque, los Chuquihuanca» (Botelho Gosálvez, 1982 [1945]: 156). Faltan los Condori, los Mamani y los Quispe, la «legión» sin tierra que cerraba la escalera del narrador (ibid.: 22). El Signo Escalonado se rehace sin su último escalón. Si, como concluyen Monteys y Fuertes, las personas «son la casa» (Monteys y Fuertes, 2001: 148), el ayllu se rehace incompleto.</w:t>
        </w:r>
      </w:ins>
    </w:p>
    <w:p>
      <w:pPr>
        <w:pStyle w:val="BodyText"/>
        <w:rPr>
          <w:ins w:id="53" w:author="Unknown Author" w:date="2026-10-11T14:16:58Z"/>
        </w:rPr>
      </w:pPr>
      <w:ins w:id="48" w:author="Unknown Author" w:date="2026-10-11T14:16:58Z">
        <w:r>
          <w:rPr/>
          <w:t xml:space="preserve">Una pirca de doble cara enseña lo que esa memoria olvida: las piedras grandes dan la cara, pero adentro van las menudas, y sin ese relleno el muro se cae. El narrador también llama «legión» a la «piedrecilla menuda» que baja del cerro hasta las pircas (Botelho Gosálvez, 1982 [1945]: 8). Los sin tierra fueron ese relleno: tres de ellos, sin nombre, cuidaron el ayllu vacío, y el retorno no los cuenta. Con la cosecha, los derrotados «olvidaron la pesadilla pasada» (ibid.: 159). Endurecerse para no sufrir la pérdida tiene nombre en aymara: </w:t>
        </w:r>
      </w:ins>
      <w:ins w:id="49" w:author="Unknown Author" w:date="2026-10-11T14:16:58Z">
        <w:r>
          <w:rPr>
            <w:i/>
            <w:iCs/>
          </w:rPr>
          <w:t>qalachuyma</w:t>
        </w:r>
      </w:ins>
      <w:ins w:id="50" w:author="Unknown Author" w:date="2026-10-11T14:16:58Z">
        <w:r>
          <w:rPr/>
          <w:t xml:space="preserve">, «corazón de piedra»; en un relato de Spedding, para volverse así «hay que lamer el batán de moler» (Spedding, 2025: XV). Contra el susto, la piedra se usa al revés: se come el bezoar del yatiri, en aymara </w:t>
        </w:r>
      </w:ins>
      <w:ins w:id="51" w:author="Unknown Author" w:date="2026-10-11T14:16:58Z">
        <w:r>
          <w:rPr>
            <w:i/>
            <w:iCs/>
          </w:rPr>
          <w:t>jayintilla</w:t>
        </w:r>
      </w:ins>
      <w:ins w:id="52" w:author="Unknown Author" w:date="2026-10-11T14:16:58Z">
        <w:r>
          <w:rPr/>
          <w:t xml:space="preserve"> (Bertonio, 2011 [1612]: 361), o la tierra del lugar del miedo, para «retornar al territorio y a la memoria» (Rodríguez y Rodríguez, 2025: 55). Los comunarios besan el suelo, pero no vuelven a la memoria. La paz se paga con ese olvido.</w:t>
        </w:r>
      </w:ins>
    </w:p>
    <w:p>
      <w:pPr>
        <w:pStyle w:val="Figura"/>
        <w:rPr/>
      </w:pPr>
      <w:r>
        <w:rPr/>
        <w:drawing>
          <wp:inline distT="0" distB="0" distL="0" distR="0">
            <wp:extent cx="5039995" cy="323977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039995" cy="3239770"/>
                    </a:xfrm>
                    <a:prstGeom prst="rect">
                      <a:avLst/>
                    </a:prstGeom>
                  </pic:spPr>
                </pic:pic>
              </a:graphicData>
            </a:graphic>
          </wp:inline>
        </w:drawing>
      </w:r>
    </w:p>
    <w:p>
      <w:pPr>
        <w:pStyle w:val="Piedefigura"/>
        <w:rPr/>
      </w:pPr>
      <w:r>
        <w:rPr>
          <w:b/>
          <w:bCs/>
        </w:rPr>
        <w:t>Figura 7.</w:t>
      </w:r>
      <w:r>
        <w:rPr/>
        <w:t xml:space="preserve"> </w:t>
      </w:r>
      <w:r>
        <w:rPr>
          <w:i/>
          <w:iCs/>
        </w:rPr>
        <w:t>La memoria del retorno</w:t>
      </w:r>
      <w:r>
        <w:rPr/>
        <w:t>. Diagrama. Fuente: elaboración propia con asistencia de IA.</w:t>
      </w:r>
    </w:p>
    <w:p>
      <w:pPr>
        <w:pStyle w:val="BodyText"/>
        <w:rPr/>
      </w:pPr>
      <w:bookmarkStart w:id="9" w:name="Xd33dadc6dc41c4f190a3160c8a87a45b956b4eb"/>
      <w:r>
        <w:rPr/>
        <w:t>Ursula K. Le Guin opuso dos formas de contar: la del arma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bookmarkEnd w:id="9"/>
    </w:p>
    <w:p>
      <w:pPr>
        <w:pStyle w:val="Heading2"/>
        <w:rPr/>
      </w:pPr>
      <w:bookmarkStart w:id="10" w:name="X6513926464102a35f22aafc801b0596a5c3805e"/>
      <w:r>
        <w:rPr/>
        <w:t>8. Conclusiones: lo que muestra el dibujo y sus límites</w:t>
      </w:r>
    </w:p>
    <w:p>
      <w:pPr>
        <w:pStyle w:val="FirstParagraph"/>
        <w:rPr/>
      </w:pPr>
      <w:r>
        <w:rPr/>
        <w:t>La lectura permite sostener cuatro hallazgos. Primero: el montón de piedras es la arquitectura mínima de la novela, masa sin edificio, y la cosecha de estaño que promete el capataz (Botelho Gosálvez, 1982 [1945]: 142) es la captura de ese gesto por la máquina (Figura 8).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Figura"/>
        <w:rPr/>
      </w:pPr>
      <w:r>
        <w:rPr/>
        <w:drawing>
          <wp:inline distT="0" distB="0" distL="0" distR="0">
            <wp:extent cx="4338320" cy="612013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4338320" cy="6120130"/>
                    </a:xfrm>
                    <a:prstGeom prst="rect">
                      <a:avLst/>
                    </a:prstGeom>
                  </pic:spPr>
                </pic:pic>
              </a:graphicData>
            </a:graphic>
          </wp:inline>
        </w:drawing>
      </w:r>
    </w:p>
    <w:p>
      <w:pPr>
        <w:pStyle w:val="Piedefigura"/>
        <w:rPr/>
      </w:pPr>
      <w:r>
        <w:rPr>
          <w:b/>
          <w:bCs/>
        </w:rPr>
        <w:t>Figura 8.</w:t>
      </w:r>
      <w:r>
        <w:rPr/>
        <w:t xml:space="preserve"> </w:t>
      </w:r>
      <w:r>
        <w:rPr>
          <w:i/>
          <w:iCs/>
        </w:rPr>
        <w:t>Tres montones</w:t>
      </w:r>
      <w:r>
        <w:rPr/>
        <w:t>. Diagrama. Fuente: elaboración propia con asistencia de IA.</w:t>
      </w:r>
    </w:p>
    <w:p>
      <w:pPr>
        <w:pStyle w:val="BodyText"/>
        <w:rPr/>
      </w:pPr>
      <w:r>
        <w:rPr/>
        <w:t>¿Qué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Fuão lo dice de la tijera y de la cola: esos instrumentos y materiales «no son neutros» (Fuão, 2011: 8). Leer con la mano no es solo ilustrar escenas, sino repetir operaciones: un manuaje de la lectura, táctil como la prosa que lee.</w:t>
      </w:r>
    </w:p>
    <w:p>
      <w:pPr>
        <w:pStyle w:val="BodyText"/>
        <w:rPr/>
      </w:pPr>
      <w:r>
        <w:rPr/>
        <w:t xml:space="preserve">El trabajo tiene tres límites. El primero es el que advertía Hall: el corte, el </w:t>
      </w:r>
      <w:r>
        <w:rPr>
          <w:i/>
          <w:iCs/>
        </w:rPr>
        <w:t>capriccio</w:t>
      </w:r>
      <w:r>
        <w:rPr/>
        <w:t>, Bacon, la tectónica, Alexander, la collage</w:t>
      </w:r>
      <w:ins w:id="54" w:author="Unknown Author" w:date="2026-10-11T14:16:58Z">
        <w:r>
          <w:rPr/>
          <w:t>, The Voidz</w:t>
        </w:r>
      </w:ins>
      <w:r>
        <w:rPr/>
        <w:t xml:space="preserve">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rPr/>
      </w:pPr>
      <w:r>
        <w:rP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como una </w:t>
      </w:r>
      <w:r>
        <w:rPr>
          <w:i/>
          <w:iCs/>
        </w:rPr>
        <w:t>décollage</w:t>
      </w:r>
      <w:r>
        <w:rPr/>
        <w:t xml:space="preserve"> que despega lo que la memoria pegó, puede impedir que el foso se cierre. Si en Jatun-Kolla habitar es despejar piedras, leer </w:t>
      </w:r>
      <w:r>
        <w:rPr>
          <w:i/>
          <w:iCs/>
        </w:rPr>
        <w:t>Altiplano</w:t>
      </w:r>
      <w:r>
        <w:rPr/>
        <w:t xml:space="preserve"> con la mano es, quizá, volver a amontonarlas para ver qué queda debajo.</w:t>
      </w:r>
      <w:bookmarkEnd w:id="10"/>
    </w:p>
    <w:p>
      <w:pPr>
        <w:pStyle w:val="Heading2"/>
        <w:rPr/>
      </w:pPr>
      <w:bookmarkStart w:id="11" w:name="declaraciones-finales"/>
      <w:r>
        <w:rPr/>
        <w:t>Declaraciones finales</w:t>
      </w:r>
    </w:p>
    <w:p>
      <w:pPr>
        <w:pStyle w:val="FirstParagraph"/>
        <w:rPr/>
      </w:pPr>
      <w:r>
        <w:rPr>
          <w:b/>
          <w:bCs/>
        </w:rPr>
        <w:t>Conflicto de intereses.</w:t>
      </w:r>
      <w:r>
        <w:rPr/>
        <w:t xml:space="preserve"> El autor declara no tener conflictos de intereses.</w:t>
      </w:r>
    </w:p>
    <w:p>
      <w:pPr>
        <w:pStyle w:val="BodyText"/>
        <w:rPr/>
      </w:pPr>
      <w:r>
        <w:rPr>
          <w:b/>
          <w:bCs/>
        </w:rPr>
        <w:t>Declaración de uso de inteligencia artificial.</w:t>
      </w:r>
      <w:r>
        <w:rPr/>
        <w:t xml:space="preserve"> a) </w:t>
      </w:r>
      <w:r>
        <w:rPr>
          <w:i/>
          <w:iCs/>
        </w:rPr>
        <w:t>Herramientas</w:t>
      </w:r>
      <w:r>
        <w:rPr/>
        <w:t xml:space="preserve">: Claude (Anthropic) y ChatGPT (OpenAI), asistentes de IA generativa. b) </w:t>
      </w:r>
      <w:r>
        <w:rPr>
          <w:i/>
          <w:iCs/>
        </w:rPr>
        <w:t>Alcance</w:t>
      </w:r>
      <w:r>
        <w:rPr/>
        <w:t xml:space="preserve">: se emplearon en la exploración bibliográfica, la transcripción y paginación de fuentes digitalizadas, la localización y el cotejo de citas con su página, el contraste de pasajes de la novela, la revisión conceptual y la redacción de borradores, y el diseño y trazado de los esquemas de encaje (figuras 1-6) y de los diagramas (figuras 7 y 8). c) </w:t>
      </w:r>
      <w:r>
        <w:rPr>
          <w:i/>
          <w:iCs/>
        </w:rPr>
        <w:t>Rol</w:t>
      </w:r>
      <w:r>
        <w:rPr/>
        <w:t>: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bookmarkEnd w:id="11"/>
    </w:p>
    <w:p>
      <w:pPr>
        <w:pStyle w:val="Heading2"/>
        <w:rPr/>
      </w:pPr>
      <w:bookmarkStart w:id="12" w:name="bibliografía"/>
      <w:r>
        <w:rPr/>
        <w:t>Bibliografía</w:t>
      </w:r>
    </w:p>
    <w:p>
      <w:pPr>
        <w:pStyle w:val="FirstParagraph"/>
        <w:rPr/>
      </w:pPr>
      <w:r>
        <w:rPr/>
        <w:t xml:space="preserve">Alexander, Christopher; Ishikawa, Sara y Silverstein, Murray (1977). </w:t>
      </w:r>
      <w:r>
        <w:rPr>
          <w:i/>
          <w:iCs/>
        </w:rPr>
        <w:t>A Pattern Language. Towns, Buildings, Construction</w:t>
      </w:r>
      <w:r>
        <w:rPr/>
        <w:t>. Nueva York: Oxford University Press.</w:t>
      </w:r>
    </w:p>
    <w:p>
      <w:pPr>
        <w:pStyle w:val="BodyText"/>
        <w:rPr/>
      </w:pPr>
      <w:r>
        <w:rPr/>
        <w:t xml:space="preserve">Bachelard, Gaston (1978 [1942]). </w:t>
      </w:r>
      <w:r>
        <w:rPr>
          <w:i/>
          <w:iCs/>
        </w:rPr>
        <w:t>El agua y los sueños. Ensayo sobre la imaginación de la materia</w:t>
      </w:r>
      <w:r>
        <w:rPr/>
        <w:t>. México: Fondo de Cultura Económica.</w:t>
      </w:r>
    </w:p>
    <w:p>
      <w:pPr>
        <w:pStyle w:val="BodyText"/>
        <w:rPr/>
      </w:pPr>
      <w:r>
        <w:rPr/>
        <w:t xml:space="preserve">Bachelard, Gaston (1983 [1957]). </w:t>
      </w:r>
      <w:r>
        <w:rPr>
          <w:i/>
          <w:iCs/>
        </w:rPr>
        <w:t>La poética del espacio</w:t>
      </w:r>
      <w:r>
        <w:rPr/>
        <w:t>. México: Fondo de Cultura Económica.</w:t>
      </w:r>
    </w:p>
    <w:p>
      <w:pPr>
        <w:pStyle w:val="BodyText"/>
        <w:rPr/>
      </w:pPr>
      <w:r>
        <w:rPr/>
        <w:t xml:space="preserve">Barnadas, Josep M. (1978 [1975]). </w:t>
      </w:r>
      <w:r>
        <w:rPr>
          <w:i/>
          <w:iCs/>
        </w:rPr>
        <w:t>Apuntes para una historia aymara</w:t>
      </w:r>
      <w:r>
        <w:rPr/>
        <w:t>. 2.ª ed. La Paz: CIPCA (Cuadernos de Investigación, 6).</w:t>
      </w:r>
    </w:p>
    <w:p>
      <w:pPr>
        <w:pStyle w:val="BodyText"/>
        <w:rPr/>
      </w:pPr>
      <w:r>
        <w:rPr/>
        <w:t xml:space="preserve">Bertonio, Ludovico (2011 [1612]). </w:t>
      </w:r>
      <w:r>
        <w:rPr>
          <w:i/>
          <w:iCs/>
        </w:rPr>
        <w:t>Transcripción del vocabulario de la lengua aymara</w:t>
      </w:r>
      <w:r>
        <w:rPr/>
        <w:t>. La Paz: Radio San Gabriel (1993) e ILLA-A (ed. digital).</w:t>
      </w:r>
    </w:p>
    <w:p>
      <w:pPr>
        <w:pStyle w:val="BodyText"/>
        <w:rPr/>
      </w:pPr>
      <w:r>
        <w:rPr/>
        <w:t xml:space="preserve">Botelho Gosálvez, Raúl (1982 [1945]). </w:t>
      </w:r>
      <w:r>
        <w:rPr>
          <w:i/>
          <w:iCs/>
        </w:rPr>
        <w:t>Altiplano</w:t>
      </w:r>
      <w:r>
        <w:rPr/>
        <w:t>. 7.ª ed. La Paz: Librería Editorial Juventud.</w:t>
      </w:r>
    </w:p>
    <w:p>
      <w:pPr>
        <w:pStyle w:val="BodyText"/>
        <w:rPr/>
      </w:pPr>
      <w:r>
        <w:rPr/>
        <w:t xml:space="preserve">Cárcamo Pino, Mauricio Arnoldo (2019). “Thinking and Intelligence in the Architectural Design. A Review from Language, Graphuage and Manuage”. En Carlos Luis Marcos Alba (ed.), </w:t>
      </w:r>
      <w:r>
        <w:rPr>
          <w:i/>
          <w:iCs/>
        </w:rPr>
        <w:t>Graphic Imprints. The Influence of Representation and Ideation Tools in Architecture. EGA 2018</w:t>
      </w:r>
      <w:r>
        <w:rPr/>
        <w:t>. Cham: Springer: 1411-1423.</w:t>
      </w:r>
    </w:p>
    <w:p>
      <w:pPr>
        <w:pStyle w:val="BodyText"/>
        <w:rPr/>
      </w:pPr>
      <w:r>
        <w:rPr/>
        <w:t xml:space="preserve">Cárcamo Pino, Mauricio Arnoldo (2025a). “Madera, herramientas y manuaje. Notas para una ontología evolutiva del diseñar”. </w:t>
      </w:r>
      <w:r>
        <w:rPr>
          <w:i/>
          <w:iCs/>
        </w:rPr>
        <w:t>Revista Arteoficio</w:t>
      </w:r>
      <w:r>
        <w:rPr/>
        <w:t>, 21: 5-12. https://doi.org/10.35588/nn3v3487</w:t>
      </w:r>
    </w:p>
    <w:p>
      <w:pPr>
        <w:pStyle w:val="BodyText"/>
        <w:rPr/>
      </w:pPr>
      <w:r>
        <w:rPr/>
        <w:t xml:space="preserve">Cárcamo Pino, Mauricio Arnoldo (2025b). “Oralitura/literatura y manuaje/lenguaje: una revisión por reescritura”. </w:t>
      </w:r>
      <w:r>
        <w:rPr>
          <w:i/>
          <w:iCs/>
        </w:rPr>
        <w:t>Revista Chilena de Literatura</w:t>
      </w:r>
      <w:r>
        <w:rPr/>
        <w:t>, 112: 233-264.</w:t>
      </w:r>
    </w:p>
    <w:p>
      <w:pPr>
        <w:pStyle w:val="BodyText"/>
        <w:rPr/>
      </w:pPr>
      <w:r>
        <w:rPr/>
        <w:t xml:space="preserve">Choque Canqui, Roberto (1978 [1974]). “Prólogo”. En Josep M. Barnadas, </w:t>
      </w:r>
      <w:r>
        <w:rPr>
          <w:i/>
          <w:iCs/>
        </w:rPr>
        <w:t>Apuntes para una historia aymara</w:t>
      </w:r>
      <w:r>
        <w:rPr/>
        <w:t>. 2.ª ed. La Paz: CIPCA: s. p.</w:t>
      </w:r>
    </w:p>
    <w:p>
      <w:pPr>
        <w:pStyle w:val="BodyText"/>
        <w:rPr/>
      </w:pPr>
      <w:r>
        <w:rPr/>
        <w:t xml:space="preserve">Cornejo Polar, Antonio (2003 [1994]). </w:t>
      </w:r>
      <w:r>
        <w:rPr>
          <w:i/>
          <w:iCs/>
        </w:rPr>
        <w:t>Escribir en el aire. Ensayo sobre la heterogeneidad socio-cultural en las literaturas andinas</w:t>
      </w:r>
      <w:r>
        <w:rPr/>
        <w:t>. 2.ª ed. Lima y Berkeley: CELACP y Latinoamericana Editores.</w:t>
      </w:r>
    </w:p>
    <w:p>
      <w:pPr>
        <w:pStyle w:val="BodyText"/>
        <w:rPr/>
      </w:pPr>
      <w:r>
        <w:rPr/>
        <w:t xml:space="preserve">Dean, Carolyn (2010). </w:t>
      </w:r>
      <w:r>
        <w:rPr>
          <w:i/>
          <w:iCs/>
        </w:rPr>
        <w:t>A Culture of Stone: Inka Perspectives on Rock</w:t>
      </w:r>
      <w:r>
        <w:rPr/>
        <w:t>. Durham y Londres: Duke University Press.</w:t>
      </w:r>
    </w:p>
    <w:p>
      <w:pPr>
        <w:pStyle w:val="BodyText"/>
        <w:rPr/>
      </w:pPr>
      <w:r>
        <w:rPr/>
        <w:t xml:space="preserve">Duviols, Pierre (1979). “Un symbolisme de l’occupation, de l’aménagement et de l’exploitation de l’espace: le monolithe «huanca» et sa fonction dans les Andes préhispaniques”. </w:t>
      </w:r>
      <w:r>
        <w:rPr>
          <w:i/>
          <w:iCs/>
        </w:rPr>
        <w:t>L’Homme</w:t>
      </w:r>
      <w:r>
        <w:rPr/>
        <w:t>, 19(2): 7-31.</w:t>
      </w:r>
    </w:p>
    <w:p>
      <w:pPr>
        <w:pStyle w:val="BodyText"/>
        <w:rPr/>
      </w:pPr>
      <w:r>
        <w:rPr/>
        <w:t xml:space="preserve">Frampton, Kenneth (1995). </w:t>
      </w:r>
      <w:r>
        <w:rPr>
          <w:i/>
          <w:iCs/>
        </w:rPr>
        <w:t>Studies in Tectonic Culture: The Poetics of Construction in Nineteenth and Twentieth Century Architecture</w:t>
      </w:r>
      <w:r>
        <w:rPr/>
        <w:t>. Ed. John Cava. Cambridge, MA y Londres: MIT Press.</w:t>
      </w:r>
    </w:p>
    <w:p>
      <w:pPr>
        <w:pStyle w:val="BodyText"/>
        <w:rPr/>
      </w:pPr>
      <w:r>
        <w:rPr/>
        <w:t xml:space="preserve">Fuão, Fernando Freitas (2011). </w:t>
      </w:r>
      <w:r>
        <w:rPr>
          <w:i/>
          <w:iCs/>
        </w:rPr>
        <w:t>A collage como trajetória amorosa</w:t>
      </w:r>
      <w:r>
        <w:rPr/>
        <w:t>. Porto Alegre: Editora da UFRGS.</w:t>
      </w:r>
    </w:p>
    <w:p>
      <w:pPr>
        <w:pStyle w:val="BodyText"/>
        <w:rPr/>
      </w:pPr>
      <w:r>
        <w:rPr/>
        <w:t xml:space="preserve">Garrington, Abbie (2013). </w:t>
      </w:r>
      <w:r>
        <w:rPr>
          <w:i/>
          <w:iCs/>
        </w:rPr>
        <w:t>Haptic Modernism: Touch and the Tactile in Modernist Writing</w:t>
      </w:r>
      <w:r>
        <w:rPr/>
        <w:t>. Edimburgo: Edinburgh University Press.</w:t>
      </w:r>
    </w:p>
    <w:p>
      <w:pPr>
        <w:pStyle w:val="BodyText"/>
        <w:rPr/>
      </w:pPr>
      <w:r>
        <w:rPr/>
        <w:t xml:space="preserve">Hall, Edward T. (1973 [1966]). </w:t>
      </w:r>
      <w:r>
        <w:rPr>
          <w:i/>
          <w:iCs/>
        </w:rPr>
        <w:t>La dimensión oculta: enfoque antropológico del uso del espacio</w:t>
      </w:r>
      <w:r>
        <w:rPr/>
        <w:t>. Madrid: Instituto de Estudios de Administración Local.</w:t>
      </w:r>
    </w:p>
    <w:p>
      <w:pPr>
        <w:pStyle w:val="BodyText"/>
        <w:rPr/>
      </w:pPr>
      <w:r>
        <w:rPr/>
        <w:t xml:space="preserve">Ingold, Tim (2013). </w:t>
      </w:r>
      <w:r>
        <w:rPr>
          <w:i/>
          <w:iCs/>
        </w:rPr>
        <w:t>Making: Anthropology, Archaeology, Art and Architecture</w:t>
      </w:r>
      <w:r>
        <w:rPr/>
        <w:t>. Londres y Nueva York: Routledge.</w:t>
      </w:r>
    </w:p>
    <w:p>
      <w:pPr>
        <w:pStyle w:val="BodyText"/>
        <w:rPr>
          <w:ins w:id="58" w:author="Unknown Author" w:date="2026-10-11T14:16:58Z"/>
        </w:rPr>
      </w:pPr>
      <w:ins w:id="55" w:author="Unknown Author" w:date="2026-10-11T14:16:58Z">
        <w:r>
          <w:rPr/>
          <w:t xml:space="preserve">Julian Casablancas+The Voidz (2014). </w:t>
        </w:r>
      </w:ins>
      <w:ins w:id="56" w:author="Unknown Author" w:date="2026-10-11T14:16:58Z">
        <w:r>
          <w:rPr>
            <w:i/>
            <w:iCs/>
          </w:rPr>
          <w:t>Tyranny</w:t>
        </w:r>
      </w:ins>
      <w:ins w:id="57" w:author="Unknown Author" w:date="2026-10-11T14:16:58Z">
        <w:r>
          <w:rPr/>
          <w:t xml:space="preserve"> [álbum]. Cult Records. Pista 6, «Father Electricity».</w:t>
        </w:r>
      </w:ins>
    </w:p>
    <w:p>
      <w:pPr>
        <w:pStyle w:val="BodyText"/>
        <w:rPr/>
      </w:pPr>
      <w:r>
        <w:rPr/>
        <w:t>Le Guin, Ursula K. (2021 [1986]). “La teoría de la bolsa de transporte de la ficción”. Trad. Kamen Nedev y José Pérez de Lama. Biblioteca Anarquista. https://es.theanarchistlibrary.org</w:t>
      </w:r>
    </w:p>
    <w:p>
      <w:pPr>
        <w:pStyle w:val="BodyText"/>
        <w:rPr/>
      </w:pPr>
      <w:r>
        <w:rPr/>
        <w:t xml:space="preserve">Lundberg, Simon (2019). </w:t>
      </w:r>
      <w:r>
        <w:rPr>
          <w:i/>
          <w:iCs/>
        </w:rPr>
        <w:t>Architecture as Image</w:t>
      </w:r>
      <w:r>
        <w:rPr/>
        <w:t>. Proyecto de grado en Arquitectura, nivel avanzado. Estocolmo: KTH, TRITA-ABE-MBT-19132.</w:t>
      </w:r>
    </w:p>
    <w:p>
      <w:pPr>
        <w:pStyle w:val="BodyText"/>
        <w:rPr/>
      </w:pPr>
      <w:r>
        <w:rPr/>
        <w:t xml:space="preserve">Martin, Richard (2014). </w:t>
      </w:r>
      <w:r>
        <w:rPr>
          <w:i/>
          <w:iCs/>
        </w:rPr>
        <w:t>The Architecture of David Lynch</w:t>
      </w:r>
      <w:r>
        <w:rPr/>
        <w:t>. Londres y Nueva York: Bloomsbury Academic.</w:t>
      </w:r>
    </w:p>
    <w:p>
      <w:pPr>
        <w:pStyle w:val="BodyText"/>
        <w:rPr/>
      </w:pPr>
      <w:r>
        <w:rPr/>
        <w:t xml:space="preserve">Monteys, Xavier y Fuertes, Pere (2001). </w:t>
      </w:r>
      <w:r>
        <w:rPr>
          <w:i/>
          <w:iCs/>
        </w:rPr>
        <w:t>Casa collage. Un ensayo sobre la arquitectura de la casa</w:t>
      </w:r>
      <w:r>
        <w:rPr/>
        <w:t>. Barcelona: Gustavo Gili.</w:t>
      </w:r>
    </w:p>
    <w:p>
      <w:pPr>
        <w:pStyle w:val="BodyText"/>
        <w:rPr/>
      </w:pPr>
      <w:r>
        <w:rPr/>
        <w:t xml:space="preserve">Pallasmaa, Juhani (2014 [2011]). </w:t>
      </w:r>
      <w:r>
        <w:rPr>
          <w:i/>
          <w:iCs/>
        </w:rPr>
        <w:t>La imagen corpórea. Imaginación e imaginario en la arquitectura</w:t>
      </w:r>
      <w:r>
        <w:rPr/>
        <w:t>. Trad. Carles Muro. Barcelona: Gustavo Gili.</w:t>
      </w:r>
    </w:p>
    <w:p>
      <w:pPr>
        <w:pStyle w:val="BodyText"/>
        <w:rPr/>
      </w:pPr>
      <w:r>
        <w:rPr/>
        <w:t xml:space="preserve">Rivera Cusicanqui, Silvia (2010 [1984]). </w:t>
      </w:r>
      <w:r>
        <w:rPr>
          <w:i/>
          <w:iCs/>
        </w:rPr>
        <w:t>«Oprimidos pero no vencidos». Luchas del campesinado aymara y qhechwa 1900-1980</w:t>
      </w:r>
      <w:r>
        <w:rPr/>
        <w:t>. 4.ª ed. La Paz: WA-GUI.</w:t>
      </w:r>
    </w:p>
    <w:p>
      <w:pPr>
        <w:pStyle w:val="BodyText"/>
        <w:rPr/>
      </w:pPr>
      <w:r>
        <w:rPr/>
        <w:t xml:space="preserve">Rodríguez, Malena y Rodríguez, Gabriel (2025). “Susto andino y violencia política”. En Eloísa Paz y alfonso borragán (dirs.), </w:t>
      </w:r>
      <w:r>
        <w:rPr>
          <w:i/>
          <w:iCs/>
        </w:rPr>
        <w:t>Susto al susto</w:t>
      </w:r>
      <w:r>
        <w:rPr/>
        <w:t>. La Paz: A ediciones: 43-61.</w:t>
      </w:r>
    </w:p>
    <w:p>
      <w:pPr>
        <w:pStyle w:val="BodyText"/>
        <w:rPr/>
      </w:pPr>
      <w:r>
        <w:rPr/>
        <w:t xml:space="preserve">Scott, James C. (2020 [1998]). </w:t>
      </w:r>
      <w:r>
        <w:rPr>
          <w:i/>
          <w:iCs/>
        </w:rPr>
        <w:t>Seeing Like a State: How Certain Schemes to Improve the Human Condition Have Failed</w:t>
      </w:r>
      <w:r>
        <w:rPr/>
        <w:t>. New Haven y Londres: Yale University Press.</w:t>
      </w:r>
    </w:p>
    <w:p>
      <w:pPr>
        <w:pStyle w:val="BodyText"/>
        <w:rPr/>
      </w:pPr>
      <w:r>
        <w:rPr/>
        <w:t xml:space="preserve">Seguí de la Riva, Javier (2010). </w:t>
      </w:r>
      <w:r>
        <w:rPr>
          <w:i/>
          <w:iCs/>
        </w:rPr>
        <w:t>Ser dibujo</w:t>
      </w:r>
      <w:r>
        <w:rPr/>
        <w:t>. Madrid: Mairea Libros y Escuela Técnica Superior de Arquitectura de Madrid.</w:t>
      </w:r>
    </w:p>
    <w:p>
      <w:pPr>
        <w:pStyle w:val="BodyText"/>
        <w:rPr/>
      </w:pPr>
      <w:r>
        <w:rPr/>
        <w:t xml:space="preserve">Spedding, Alison (2025). “Piedras en el camino”. En Eloísa Paz y alfonso borragán (dirs.), </w:t>
      </w:r>
      <w:r>
        <w:rPr>
          <w:i/>
          <w:iCs/>
        </w:rPr>
        <w:t>Susto al susto</w:t>
      </w:r>
      <w:r>
        <w:rPr/>
        <w:t>. La Paz: A ediciones: XIII-XXIII.</w:t>
      </w:r>
    </w:p>
    <w:p>
      <w:pPr>
        <w:pStyle w:val="BodyText"/>
        <w:rPr>
          <w:ins w:id="62" w:author="Unknown Author" w:date="2026-10-11T14:16:58Z"/>
        </w:rPr>
      </w:pPr>
      <w:ins w:id="59" w:author="Unknown Author" w:date="2026-10-11T14:16:58Z">
        <w:r>
          <w:rPr/>
          <w:t xml:space="preserve">The Voidz (2018). </w:t>
        </w:r>
      </w:ins>
      <w:ins w:id="60" w:author="Unknown Author" w:date="2026-10-11T14:16:58Z">
        <w:r>
          <w:rPr>
            <w:i/>
            <w:iCs/>
          </w:rPr>
          <w:t>Virtue</w:t>
        </w:r>
      </w:ins>
      <w:ins w:id="61" w:author="Unknown Author" w:date="2026-10-11T14:16:58Z">
        <w:r>
          <w:rPr/>
          <w:t xml:space="preserve"> [álbum]. Cult Records y RCA Records. Pistas 3, «Pyramid of Bones», y 7, «All Wordz Are Made Up». Letra según el librillo de la edición japonesa (Sony Music Labels, SICP 5689).</w:t>
        </w:r>
      </w:ins>
    </w:p>
    <w:p>
      <w:pPr>
        <w:pStyle w:val="BodyText"/>
        <w:rPr/>
      </w:pPr>
      <w:r>
        <w:rPr/>
        <w:t xml:space="preserve">Vázquez Ramos, Fernando Guillermo; Dias Ribeiro, Carlos Eduardo; Quedas Campoy, Carlos y Ferreira de Paula, Franklin Roberto (2023). “Reflexões sobre a construção histórica do conceito de espaço: uma aproximação”. </w:t>
      </w:r>
      <w:r>
        <w:rPr>
          <w:i/>
          <w:iCs/>
        </w:rPr>
        <w:t>Risco. Revista de Pesquisa em Arquitetura e Urbanismo</w:t>
      </w:r>
      <w:r>
        <w:rPr/>
        <w:t>, 21: 1-18. https://doi.org/10.11606/1984-4506.risco.2023.187844</w:t>
      </w:r>
    </w:p>
    <w:p>
      <w:pPr>
        <w:pStyle w:val="BodyText"/>
        <w:spacing w:lineRule="auto" w:line="360" w:before="0" w:after="120"/>
        <w:rPr/>
      </w:pPr>
      <w:r>
        <w:rPr/>
        <w:t xml:space="preserve">Zavaleta Mercado, René (1986). </w:t>
      </w:r>
      <w:r>
        <w:rPr>
          <w:i/>
          <w:iCs/>
        </w:rPr>
        <w:t>Lo nacional-popular en Bolivia</w:t>
      </w:r>
      <w:r>
        <w:rPr/>
        <w:t>. México: Siglo XXI.</w:t>
      </w:r>
      <w:bookmarkEnd w:id="0"/>
      <w:bookmarkEnd w:id="12"/>
    </w:p>
    <w:sectPr>
      <w:footnotePr>
        <w:numFmt w:val="decimal"/>
        <w:numRestart w:val="eachSect"/>
      </w:footnotePr>
      <w:type w:val="nextPage"/>
      <w:pgSz w:w="12240" w:h="15840"/>
      <w:pgMar w:left="1417" w:right="1417" w:gutter="0" w:header="0" w:top="1417" w:footer="0"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lineRule="auto" w:line="240" w:before="0" w:after="40"/>
        <w:rPr/>
      </w:pPr>
      <w:r>
        <w:rPr>
          <w:rStyle w:val="FootnoteCharacters"/>
        </w:rPr>
        <w:footnoteRef/>
      </w:r>
      <w:r>
        <w:rPr/>
        <w:t xml:space="preserve"> </w:t>
      </w:r>
      <w:r>
        <w:rPr/>
        <w:t>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3">
    <w:p>
      <w:pPr>
        <w:pStyle w:val="FootnoteText"/>
        <w:spacing w:lineRule="auto" w:line="240" w:before="0" w:after="40"/>
        <w:rPr/>
      </w:pPr>
      <w:r>
        <w:rPr>
          <w:rStyle w:val="FootnoteCharacters"/>
        </w:rPr>
        <w:footnoteRef/>
      </w:r>
      <w:r>
        <w:rPr/>
        <w:t xml:space="preserve"> </w:t>
      </w:r>
      <w:r>
        <w:rPr/>
        <w:t>Las traducciones de las citas en inglés, francés y portugués son nuestras.</w:t>
      </w:r>
    </w:p>
  </w:footnote>
  <w:footnote w:id="4">
    <w:p>
      <w:pPr>
        <w:pStyle w:val="FootnoteText"/>
        <w:spacing w:lineRule="auto" w:line="240" w:before="0" w:after="40"/>
        <w:rPr/>
      </w:pPr>
      <w:r>
        <w:rPr>
          <w:rStyle w:val="FootnoteCharacters"/>
        </w:rPr>
        <w:footnoteRef/>
      </w:r>
      <w:r>
        <w:rPr/>
        <w:t xml:space="preserve"> </w:t>
      </w:r>
      <w:r>
        <w:rPr/>
        <w:t xml:space="preserve">El pastel al óleo es pigmento unido con cera y aceite, y no llega a secar del todo: se puede empastar, arrastrar con el dedo, raspar con una punta hasta descubrir la capa de abajo (esgrafiado) o disolver con solvente. Por eso se trabaja sumando y quitando materia, como se limpia un campo, más que trazando líneas. Fernando Freitas Fuão describe la misma doble operación en la collage: «Si la cola añade, la </w:t>
      </w:r>
      <w:r>
        <w:rPr>
          <w:i/>
          <w:iCs/>
        </w:rPr>
        <w:t>décollage</w:t>
      </w:r>
      <w:r>
        <w:rPr/>
        <w:t xml:space="preserve"> suprime», y juntas «reduplican su significado» (Fuão, 2011: 43). El esgrafiado hace lo que Fuão llama «la segunda incisión»: la cámara ya cortó la realidad en rectángulos, y «un segundo recorte desfigura la imagen rectangular inicial, dándole un nuevo significado» (ibid.: 29). La novela es el primer corte; el dibujo, el segundo.</w:t>
      </w:r>
    </w:p>
  </w:footnote>
  <w:footnote w:id="5">
    <w:p>
      <w:pPr>
        <w:pStyle w:val="FootnoteText"/>
        <w:spacing w:lineRule="auto" w:line="240" w:before="0" w:after="40"/>
        <w:rPr/>
      </w:pPr>
      <w:r>
        <w:rPr>
          <w:rStyle w:val="FootnoteCharacters"/>
        </w:rPr>
        <w:footnoteRef/>
      </w:r>
      <w:r>
        <w:rPr/>
        <w:t xml:space="preserve"> </w:t>
      </w:r>
      <w:r>
        <w:rPr/>
        <w:t>Este artículo está hecho, literalmente, de recortes: más de ciento cincuenta citas de la novela. Fuão ve en las comillas «la mejor evidencia del recorte», una herida que marca «una sutura de cuatro puntos» (Fuão, 2011: 39).</w:t>
      </w:r>
    </w:p>
  </w:footnote>
</w:footnotes>
</file>

<file path=word/settings.xml><?xml version="1.0" encoding="utf-8"?>
<w:settings xmlns:w="http://schemas.openxmlformats.org/wordprocessingml/2006/main">
  <w:zoom w:percent="100"/>
  <w:embedSystemFonts/>
  <w:defaultTabStop w:val="720"/>
  <w:autoHyphenation w:val="true"/>
  <w:footnotePr>
    <w:numFmt w:val="decimal"/>
    <w:numRestart w:val="eachSect"/>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360" w:before="240" w:after="120"/>
      <w:outlineLvl w:val="0"/>
    </w:pPr>
    <w:rPr>
      <w:rFonts w:ascii="Times New Roman" w:hAnsi="Times New Roman" w:eastAsia="Times New Roman" w:cs="Times New Roman"/>
      <w:b/>
      <w:i w:val="false"/>
      <w:sz w:val="24"/>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360" w:before="240" w:after="120"/>
      <w:outlineLvl w:val="1"/>
    </w:pPr>
    <w:rPr>
      <w:rFonts w:ascii="Times New Roman" w:hAnsi="Times New Roman" w:eastAsia="Times New Roman" w:cs="Times New Roman"/>
      <w:b/>
      <w:i w:val="false"/>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360" w:before="240" w:after="120"/>
      <w:outlineLvl w:val="2"/>
    </w:pPr>
    <w:rPr>
      <w:rFonts w:ascii="Times New Roman" w:hAnsi="Times New Roman" w:eastAsia="Times New Roman" w:cs="Times New Roman"/>
      <w:b/>
      <w:i w:val="false"/>
      <w:sz w:val="24"/>
      <w:szCs w:val="28"/>
    </w:rPr>
  </w:style>
  <w:style w:type="paragraph" w:styleId="Heading4">
    <w:name w:val="Heading 4"/>
    <w:basedOn w:val="Normal"/>
    <w:next w:val="BodyText"/>
    <w:link w:val="Heading4Char"/>
    <w:uiPriority w:val="9"/>
    <w:semiHidden/>
    <w:unhideWhenUsed/>
    <w:qFormat/>
    <w:rsid w:val="00a10fd9"/>
    <w:pPr>
      <w:keepNext w:val="true"/>
      <w:keepLines/>
      <w:spacing w:lineRule="auto" w:line="360" w:before="240" w:after="120"/>
      <w:outlineLvl w:val="3"/>
    </w:pPr>
    <w:rPr>
      <w:rFonts w:ascii="Times New Roman" w:hAnsi="Times New Roman" w:eastAsia="Times New Roman" w:cs="Times New Roman"/>
      <w:b/>
      <w:i w:val="false"/>
      <w:iCs/>
      <w:sz w:val="24"/>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sz w:val="24"/>
    </w:rPr>
  </w:style>
  <w:style w:type="paragraph" w:styleId="List">
    <w:name w:val="List"/>
    <w:basedOn w:val="BodyText"/>
    <w:pPr/>
    <w:rPr>
      <w:rFonts w:cs="FreeSans"/>
    </w:rPr>
  </w:style>
  <w:style w:type="paragraph" w:styleId="Caption">
    <w:name w:val="Caption"/>
    <w:basedOn w:val="Normal"/>
    <w:link w:val="BodyTextChar"/>
    <w:qFormat/>
    <w:pPr>
      <w:spacing w:lineRule="auto" w:line="240" w:before="60" w:after="240"/>
    </w:pPr>
    <w:rPr>
      <w:rFonts w:ascii="Times New Roman" w:hAnsi="Times New Roman" w:eastAsia="Times New Roman" w:cs="Times New Roman"/>
      <w:i w:val="false"/>
      <w:sz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sz w:val="24"/>
    </w:rPr>
  </w:style>
  <w:style w:type="paragraph" w:styleId="Title">
    <w:name w:val="Title"/>
    <w:basedOn w:val="Normal"/>
    <w:next w:val="BodyText"/>
    <w:link w:val="TitleChar"/>
    <w:uiPriority w:val="10"/>
    <w:qFormat/>
    <w:rsid w:val="00a10fd9"/>
    <w:pPr>
      <w:spacing w:lineRule="auto" w:line="360" w:before="240" w:after="120"/>
      <w:contextualSpacing/>
      <w:jc w:val="center"/>
    </w:pPr>
    <w:rPr>
      <w:rFonts w:ascii="Times New Roman" w:hAnsi="Times New Roman" w:eastAsia="Times New Roman" w:cs="Times New Roman"/>
      <w:b/>
      <w:i w:val="false"/>
      <w:sz w:val="28"/>
      <w:szCs w:val="56"/>
    </w:rPr>
  </w:style>
  <w:style w:type="paragraph" w:styleId="Subtitle">
    <w:name w:val="Subtitle"/>
    <w:basedOn w:val="Title"/>
    <w:next w:val="BodyText"/>
    <w:link w:val="SubtitleChar"/>
    <w:uiPriority w:val="11"/>
    <w:qFormat/>
    <w:rsid w:val="00a10fd9"/>
    <w:pPr>
      <w:spacing w:lineRule="auto" w:line="360" w:before="240" w:after="120"/>
      <w:contextualSpacing/>
    </w:pPr>
    <w:rPr>
      <w:rFonts w:ascii="Times New Roman" w:hAnsi="Times New Roman" w:eastAsia="Times New Roman" w:cs="Times New Roman"/>
      <w:b/>
      <w:i w:val="false"/>
      <w:spacing w:val="15"/>
      <w:sz w:val="24"/>
      <w:szCs w:val="28"/>
    </w:rPr>
  </w:style>
  <w:style w:type="paragraph" w:styleId="Author" w:customStyle="1">
    <w:name w:val="Author"/>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Date">
    <w:name w:val="Date"/>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lineRule="auto" w:line="360" w:before="0" w:after="120"/>
    </w:pPr>
    <w:rPr>
      <w:rFonts w:ascii="Times New Roman" w:hAnsi="Times New Roman" w:eastAsia="Times New Roman" w:cs="Times New Roman"/>
      <w:sz w:val="24"/>
      <w:szCs w:val="20"/>
    </w:rPr>
  </w:style>
  <w:style w:type="paragraph" w:styleId="Bibliography">
    <w:name w:val="Bibliography"/>
    <w:basedOn w:val="Normal"/>
    <w:qFormat/>
    <w:pPr>
      <w:spacing w:lineRule="auto" w:line="360" w:before="0" w:after="120"/>
    </w:pPr>
    <w:rPr>
      <w:rFonts w:ascii="Times New Roman" w:hAnsi="Times New Roman" w:eastAsia="Times New Roman" w:cs="Times New Roman"/>
      <w:sz w:val="24"/>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sz w:val="24"/>
    </w:rPr>
  </w:style>
  <w:style w:type="paragraph" w:styleId="FootnoteText">
    <w:name w:val="Footnote Text"/>
    <w:basedOn w:val="Normal"/>
    <w:uiPriority w:val="9"/>
    <w:unhideWhenUsed/>
    <w:qFormat/>
    <w:pPr>
      <w:spacing w:lineRule="auto" w:line="240" w:before="0" w:after="40"/>
    </w:pPr>
    <w:rPr>
      <w:rFonts w:ascii="Times New Roman" w:hAnsi="Times New Roman" w:eastAsia="Times New Roman" w:cs="Times New Roman"/>
      <w:sz w:val="20"/>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lineRule="auto" w:line="360" w:before="0" w:after="120"/>
    </w:pPr>
    <w:rPr>
      <w:rFonts w:ascii="Times New Roman" w:hAnsi="Times New Roman" w:eastAsia="Times New Roman" w:cs="Times New Roman"/>
      <w:b/>
      <w:sz w:val="24"/>
    </w:rPr>
  </w:style>
  <w:style w:type="paragraph" w:styleId="Definition" w:customStyle="1">
    <w:name w:val="Definition"/>
    <w:basedOn w:val="Normal"/>
    <w:qFormat/>
    <w:pPr>
      <w:spacing w:lineRule="auto" w:line="360" w:before="0" w:after="120"/>
    </w:pPr>
    <w:rPr>
      <w:rFonts w:ascii="Times New Roman" w:hAnsi="Times New Roman" w:eastAsia="Times New Roman" w:cs="Times New Roman"/>
      <w:sz w:val="24"/>
    </w:rPr>
  </w:style>
  <w:style w:type="paragraph" w:styleId="TableCaption" w:customStyle="1">
    <w:name w:val="Table Caption"/>
    <w:basedOn w:val="Caption"/>
    <w:qFormat/>
    <w:pPr>
      <w:keepNext w:val="true"/>
      <w:spacing w:lineRule="auto" w:line="240" w:before="60" w:after="240"/>
    </w:pPr>
    <w:rPr>
      <w:rFonts w:ascii="Times New Roman" w:hAnsi="Times New Roman" w:eastAsia="Times New Roman" w:cs="Times New Roman"/>
      <w:i w:val="false"/>
      <w:sz w:val="20"/>
    </w:rPr>
  </w:style>
  <w:style w:type="paragraph" w:styleId="ImageCaption" w:customStyle="1">
    <w:name w:val="Image Caption"/>
    <w:basedOn w:val="Caption"/>
    <w:qFormat/>
    <w:pPr>
      <w:spacing w:lineRule="auto" w:line="240" w:before="60" w:after="240"/>
      <w:jc w:val="center"/>
    </w:pPr>
    <w:rPr>
      <w:rFonts w:ascii="Times New Roman" w:hAnsi="Times New Roman" w:eastAsia="Times New Roman" w:cs="Times New Roman"/>
      <w:i w:val="false"/>
      <w:sz w:val="20"/>
    </w:rPr>
  </w:style>
  <w:style w:type="paragraph" w:styleId="Figure" w:customStyle="1">
    <w:name w:val="Figure"/>
    <w:basedOn w:val="Normal"/>
    <w:qFormat/>
    <w:pPr>
      <w:spacing w:lineRule="auto" w:line="360" w:before="0" w:after="120"/>
      <w:jc w:val="center"/>
    </w:pPr>
    <w:rPr>
      <w:rFonts w:ascii="Times New Roman" w:hAnsi="Times New Roman" w:eastAsia="Times New Roman" w:cs="Times New Roman"/>
      <w:sz w:val="24"/>
    </w:rPr>
  </w:style>
  <w:style w:type="paragraph" w:styleId="CaptionedFigure" w:customStyle="1">
    <w:name w:val="Captioned Figure"/>
    <w:basedOn w:val="Figure"/>
    <w:qFormat/>
    <w:pPr>
      <w:keepNext w:val="true"/>
      <w:spacing w:lineRule="auto" w:line="360" w:before="0" w:after="120"/>
      <w:jc w:val="center"/>
    </w:pPr>
    <w:rPr>
      <w:rFonts w:ascii="Times New Roman" w:hAnsi="Times New Roman" w:eastAsia="Times New Roman" w:cs="Times New Roman"/>
      <w:sz w:val="24"/>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Figura" w:customStyle="1">
    <w:name w:val="Figura"/>
    <w:basedOn w:val="Normal"/>
    <w:qFormat/>
    <w:pPr>
      <w:keepNext w:val="true"/>
      <w:spacing w:lineRule="auto" w:line="240" w:before="240" w:after="60"/>
      <w:jc w:val="center"/>
    </w:pPr>
    <w:rPr>
      <w:rFonts w:ascii="Times New Roman" w:hAnsi="Times New Roman" w:eastAsia="Times New Roman" w:cs="Times New Roman"/>
      <w:i w:val="false"/>
      <w:sz w:val="24"/>
    </w:rPr>
  </w:style>
  <w:style w:type="paragraph" w:styleId="Piedefigura" w:customStyle="1">
    <w:name w:val="Pie de figura"/>
    <w:basedOn w:val="Normal"/>
    <w:qFormat/>
    <w:pPr>
      <w:keepNext w:val="false"/>
      <w:spacing w:lineRule="auto" w:line="240" w:before="60" w:after="240"/>
      <w:jc w:val="center"/>
    </w:pPr>
    <w:rPr>
      <w:rFonts w:ascii="Times New Roman" w:hAnsi="Times New Roman" w:eastAsia="Times New Roman" w:cs="Times New Roman"/>
      <w:i w:val="false"/>
      <w:sz w:val="20"/>
    </w:rPr>
  </w:style>
  <w:style w:type="paragraph" w:styleId="Epgrafe" w:customStyle="1">
    <w:name w:val="Epígrafe"/>
    <w:basedOn w:val="Normal"/>
    <w:qFormat/>
    <w:pPr>
      <w:spacing w:lineRule="auto" w:line="240" w:before="0" w:after="120"/>
      <w:ind w:left="3969"/>
    </w:pPr>
    <w:rPr>
      <w:rFonts w:ascii="Times New Roman" w:hAnsi="Times New Roman" w:eastAsia="Times New Roman" w:cs="Times New Roman"/>
      <w:i w:val="false"/>
      <w:sz w:val="22"/>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pPr>
      <w:spacing w:before="0" w:after="120" w:line="360" w:lineRule="auto"/>
    </w:pPr>
    <w:rPr>
      <w:sz w:val="24"/>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otnotes" Target="footnotes.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30</Pages>
  <Words>10286</Words>
  <Characters>51405</Characters>
  <CharactersWithSpaces>61539</CharactersWithSpaces>
  <Paragraphs>164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2026-10-11T14:15:56Z</dcterms:created>
  <dc:creator/>
  <dc:description/>
  <dc:language>en-US</dc:language>
  <cp:lastModifiedBy/>
  <dcterms:modified xsi:type="dcterms:W3CDTF">2026-10-11T14:16:59Z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